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233" w:rsidRDefault="006C3442">
      <w:pPr>
        <w:pStyle w:val="Titolo1"/>
        <w:spacing w:before="0"/>
        <w:jc w:val="center"/>
      </w:pPr>
      <w:bookmarkStart w:id="0" w:name="OLE_LINK2"/>
      <w:bookmarkStart w:id="1" w:name="OLE_LINK1"/>
      <w:r>
        <w:t>ALLEGATO A</w:t>
      </w:r>
    </w:p>
    <w:p w:rsidR="00A05233" w:rsidRDefault="006C3442">
      <w:pPr>
        <w:pStyle w:val="Titolo1"/>
        <w:spacing w:before="0"/>
        <w:jc w:val="center"/>
      </w:pPr>
      <w:r>
        <w:t xml:space="preserve">SISTEMA DI VALUTAZIONE DELLA PERFORMANCE </w:t>
      </w:r>
      <w:r w:rsidR="00145FEF">
        <w:t>DEI DIRIGENTI/TITOLARI DI POSIZIONE ORGANIZZATIVA</w:t>
      </w:r>
    </w:p>
    <w:p w:rsidR="00A05233" w:rsidRDefault="00A05233" w:rsidP="00275D62">
      <w:pPr>
        <w:pStyle w:val="Titolo2"/>
      </w:pPr>
    </w:p>
    <w:p w:rsidR="00A05233" w:rsidRDefault="006C3442">
      <w:pPr>
        <w:pStyle w:val="Titolo2"/>
      </w:pPr>
      <w:r>
        <w:t>1. LE FINALITA’ E I PRINCIPI DELLA METODOLOGIA VALUTATIVA</w:t>
      </w:r>
    </w:p>
    <w:p w:rsidR="00A05233" w:rsidRDefault="006C3442">
      <w:r>
        <w:t>Lo scopo del sistema di valutazione della performance è quello di esprimere un “valore” complessivo sulle modalità di esercizio del ruolo di dirigente o titolare di posizione organizzativa, a cui compete l’attuazione di scelte gestionali allo scopo di realizzare le finalità istituzionali, sia nel rispetto degli indirizzi dell’Amministrazione che delle prescrizioni di legge e degli obblighi comportamentali.</w:t>
      </w:r>
    </w:p>
    <w:p w:rsidR="00A05233" w:rsidRDefault="006C3442">
      <w:r>
        <w:t>In considerazione dell’ampiezza della “performance”, intesa sia come realizzazione di attività specifiche, sia come presidio di un ruolo di direz</w:t>
      </w:r>
      <w:r w:rsidR="00F06ABB">
        <w:t>ione, ai fini della valutazione</w:t>
      </w:r>
      <w:r>
        <w:t xml:space="preserve"> si prendono in considerazione diversi fattori che la compongono, con lo scopo di esprimerne il valore o di rilevarne le eventuali carenze, mediante l’utilizzo di diversi “ambiti di valutazione”.</w:t>
      </w:r>
    </w:p>
    <w:p w:rsidR="00A05233" w:rsidRDefault="00A05233" w:rsidP="00275D62">
      <w:pPr>
        <w:pStyle w:val="Titolo1"/>
        <w:spacing w:before="0"/>
        <w:rPr>
          <w:sz w:val="22"/>
          <w:szCs w:val="22"/>
        </w:rPr>
      </w:pPr>
    </w:p>
    <w:p w:rsidR="00A05233" w:rsidRDefault="006C3442">
      <w:pPr>
        <w:pStyle w:val="Titolo2"/>
      </w:pPr>
      <w:r>
        <w:t>2. IL SOGGETTO VALUTATORE</w:t>
      </w:r>
    </w:p>
    <w:p w:rsidR="00A05233" w:rsidRDefault="006C3442">
      <w:r>
        <w:t>La valutazione della performance individuale e l’attribuzione dei premi</w:t>
      </w:r>
      <w:r>
        <w:rPr>
          <w:color w:val="FF0000"/>
        </w:rPr>
        <w:t xml:space="preserve"> </w:t>
      </w:r>
      <w:r>
        <w:t xml:space="preserve">ai dirigenti e ai titolari di posizione organizzativa </w:t>
      </w:r>
      <w:r w:rsidR="00275D62">
        <w:t xml:space="preserve">negli enti privi di dirigenti </w:t>
      </w:r>
      <w:r>
        <w:t xml:space="preserve">è effettuata dal </w:t>
      </w:r>
      <w:r w:rsidR="00547C9B">
        <w:t>Sindaco/Presidente</w:t>
      </w:r>
      <w:r>
        <w:rPr>
          <w:color w:val="FF0000"/>
        </w:rPr>
        <w:t xml:space="preserve"> </w:t>
      </w:r>
      <w:r>
        <w:t xml:space="preserve">con la collaborazione dell’O.I.V. </w:t>
      </w:r>
    </w:p>
    <w:p w:rsidR="00A05233" w:rsidRDefault="00A05233"/>
    <w:p w:rsidR="00A05233" w:rsidRDefault="006C3442">
      <w:pPr>
        <w:pStyle w:val="Titolo2"/>
      </w:pPr>
      <w:r>
        <w:t>3. GLI AMBITI DELLA VALUTAZIONE</w:t>
      </w:r>
    </w:p>
    <w:p w:rsidR="00A05233" w:rsidRPr="00AB1C24" w:rsidRDefault="006C3442">
      <w:pPr>
        <w:rPr>
          <w:color w:val="auto"/>
        </w:rPr>
      </w:pPr>
      <w:r w:rsidRPr="00AB1C24">
        <w:rPr>
          <w:color w:val="auto"/>
        </w:rPr>
        <w:t xml:space="preserve">Il processo valutativo si articola nei seguenti </w:t>
      </w:r>
      <w:proofErr w:type="spellStart"/>
      <w:r w:rsidRPr="00AB1C24">
        <w:rPr>
          <w:color w:val="auto"/>
        </w:rPr>
        <w:t>step</w:t>
      </w:r>
      <w:proofErr w:type="spellEnd"/>
      <w:r w:rsidRPr="00AB1C24">
        <w:rPr>
          <w:color w:val="auto"/>
        </w:rPr>
        <w:t>:</w:t>
      </w:r>
    </w:p>
    <w:p w:rsidR="00A05233" w:rsidRPr="00AB1C24" w:rsidRDefault="00A05233">
      <w:pPr>
        <w:rPr>
          <w:color w:val="auto"/>
        </w:rPr>
      </w:pPr>
    </w:p>
    <w:p w:rsidR="00A05233" w:rsidRPr="00AB1C24" w:rsidRDefault="006C3442" w:rsidP="00FA1678">
      <w:pPr>
        <w:rPr>
          <w:color w:val="auto"/>
        </w:rPr>
      </w:pPr>
      <w:r w:rsidRPr="00AB1C24">
        <w:rPr>
          <w:b/>
          <w:color w:val="auto"/>
        </w:rPr>
        <w:t xml:space="preserve">1) Verifica dei fattori presupposto: </w:t>
      </w:r>
      <w:r w:rsidRPr="00AB1C24">
        <w:rPr>
          <w:color w:val="auto"/>
        </w:rPr>
        <w:t xml:space="preserve">attengono ad aspetti che riguardano l’adempimento di obblighi ineludibili o </w:t>
      </w:r>
      <w:r w:rsidR="00FA1678" w:rsidRPr="00AB1C24">
        <w:rPr>
          <w:color w:val="auto"/>
        </w:rPr>
        <w:t>il verificarsi</w:t>
      </w:r>
      <w:r w:rsidRPr="00AB1C24">
        <w:rPr>
          <w:color w:val="auto"/>
        </w:rPr>
        <w:t xml:space="preserve"> di condizioni che non consentono l’avvio del processo valutativo.</w:t>
      </w:r>
    </w:p>
    <w:p w:rsidR="00A05233" w:rsidRPr="00AB1C24" w:rsidRDefault="006C3442" w:rsidP="00FA1678">
      <w:pPr>
        <w:pStyle w:val="Paragrafoelenco"/>
        <w:ind w:left="0"/>
        <w:rPr>
          <w:color w:val="auto"/>
        </w:rPr>
      </w:pPr>
      <w:r w:rsidRPr="00AB1C24">
        <w:rPr>
          <w:color w:val="auto"/>
        </w:rPr>
        <w:t>La verifica ha lo scopo di individuare quelle condizioni che, sia dal punto di vista etico o comportamentale, sia dal punto di vista oggettivo, non consentono l’avvio del processo valutativo, in quanto, a carico del soggetto valutato, si sono verificate situazioni particolarmente gravi che hanno determinato almeno una delle seguenti condizioni:</w:t>
      </w:r>
    </w:p>
    <w:p w:rsidR="00A05233" w:rsidRPr="00AB1C24" w:rsidRDefault="00FA1678">
      <w:pPr>
        <w:pStyle w:val="Paragrafoelenco"/>
        <w:numPr>
          <w:ilvl w:val="0"/>
          <w:numId w:val="4"/>
        </w:numPr>
        <w:rPr>
          <w:color w:val="auto"/>
        </w:rPr>
      </w:pPr>
      <w:proofErr w:type="gramStart"/>
      <w:r w:rsidRPr="00AB1C24">
        <w:rPr>
          <w:color w:val="auto"/>
        </w:rPr>
        <w:t>c</w:t>
      </w:r>
      <w:r w:rsidR="006C3442" w:rsidRPr="00AB1C24">
        <w:rPr>
          <w:color w:val="auto"/>
        </w:rPr>
        <w:t>ondanna</w:t>
      </w:r>
      <w:proofErr w:type="gramEnd"/>
      <w:r w:rsidR="006C3442" w:rsidRPr="00AB1C24">
        <w:rPr>
          <w:color w:val="auto"/>
        </w:rPr>
        <w:t xml:space="preserve"> per reati contro la pubblica amministrazione o per altri fatti da cui derivi danno all’immagine per l’amministrazione, il cui accertamento sia stato riconosciuto dal giudice competente</w:t>
      </w:r>
      <w:r w:rsidRPr="00AB1C24">
        <w:rPr>
          <w:color w:val="auto"/>
        </w:rPr>
        <w:t>;</w:t>
      </w:r>
    </w:p>
    <w:p w:rsidR="00A05233" w:rsidRPr="00AB1C24" w:rsidRDefault="00FA1678">
      <w:pPr>
        <w:pStyle w:val="Paragrafoelenco"/>
        <w:numPr>
          <w:ilvl w:val="0"/>
          <w:numId w:val="4"/>
        </w:numPr>
        <w:rPr>
          <w:color w:val="auto"/>
        </w:rPr>
      </w:pPr>
      <w:proofErr w:type="gramStart"/>
      <w:r w:rsidRPr="00AB1C24">
        <w:rPr>
          <w:color w:val="auto"/>
        </w:rPr>
        <w:t>g</w:t>
      </w:r>
      <w:r w:rsidR="006C3442" w:rsidRPr="00AB1C24">
        <w:rPr>
          <w:color w:val="auto"/>
        </w:rPr>
        <w:t>ravi</w:t>
      </w:r>
      <w:proofErr w:type="gramEnd"/>
      <w:r w:rsidR="006C3442" w:rsidRPr="00AB1C24">
        <w:rPr>
          <w:color w:val="auto"/>
        </w:rPr>
        <w:t xml:space="preserve"> e reiterate inadempienze relativamente alla prevenzione della corruzione o della trasparenza che hanno dato luogo alla comminazione di sanzioni disciplinari</w:t>
      </w:r>
      <w:r w:rsidRPr="00AB1C24">
        <w:rPr>
          <w:color w:val="auto"/>
        </w:rPr>
        <w:t>;</w:t>
      </w:r>
    </w:p>
    <w:p w:rsidR="00A05233" w:rsidRPr="00AB1C24" w:rsidRDefault="00FA1678">
      <w:pPr>
        <w:pStyle w:val="Paragrafoelenco"/>
        <w:numPr>
          <w:ilvl w:val="0"/>
          <w:numId w:val="4"/>
        </w:numPr>
        <w:rPr>
          <w:color w:val="auto"/>
        </w:rPr>
      </w:pPr>
      <w:proofErr w:type="gramStart"/>
      <w:r w:rsidRPr="00AB1C24">
        <w:rPr>
          <w:color w:val="auto"/>
        </w:rPr>
        <w:t>v</w:t>
      </w:r>
      <w:r w:rsidR="006C3442" w:rsidRPr="00AB1C24">
        <w:rPr>
          <w:color w:val="auto"/>
        </w:rPr>
        <w:t>iolazione</w:t>
      </w:r>
      <w:proofErr w:type="gramEnd"/>
      <w:r w:rsidR="006C3442" w:rsidRPr="00AB1C24">
        <w:rPr>
          <w:color w:val="auto"/>
        </w:rPr>
        <w:t xml:space="preserve"> delle disposizioni contenute nell’articolo 7 del d.lgs. 165/2001, in materia di stipula di contratti di collaborazione (comma 5-bis, art. 7 del d.lgs. 165/2001).</w:t>
      </w:r>
    </w:p>
    <w:p w:rsidR="00FA1678" w:rsidRPr="00AB1C24" w:rsidRDefault="00FA1678">
      <w:pPr>
        <w:pStyle w:val="Paragrafoelenco"/>
        <w:rPr>
          <w:color w:val="auto"/>
        </w:rPr>
      </w:pPr>
    </w:p>
    <w:p w:rsidR="00A05233" w:rsidRPr="00AB1C24" w:rsidRDefault="006C3442">
      <w:pPr>
        <w:pStyle w:val="Paragrafoelenco"/>
        <w:rPr>
          <w:color w:val="auto"/>
        </w:rPr>
      </w:pPr>
      <w:r w:rsidRPr="00AB1C24">
        <w:rPr>
          <w:color w:val="auto"/>
        </w:rPr>
        <w:t>Ulteriore fattore è quello legato alla presenza:</w:t>
      </w:r>
    </w:p>
    <w:p w:rsidR="00A05233" w:rsidRPr="00AB1C24" w:rsidRDefault="006C3442">
      <w:pPr>
        <w:pStyle w:val="Paragrafoelenco"/>
        <w:numPr>
          <w:ilvl w:val="0"/>
          <w:numId w:val="4"/>
        </w:numPr>
        <w:rPr>
          <w:color w:val="auto"/>
        </w:rPr>
      </w:pPr>
      <w:bookmarkStart w:id="2" w:name="__DdeLink__2162_1072369730"/>
      <w:r w:rsidRPr="00AB1C24">
        <w:rPr>
          <w:color w:val="auto"/>
        </w:rPr>
        <w:t>La presenza deve essere significativamente utile, altrimenti</w:t>
      </w:r>
      <w:bookmarkEnd w:id="2"/>
      <w:r w:rsidRPr="00AB1C24">
        <w:rPr>
          <w:color w:val="auto"/>
        </w:rPr>
        <w:t xml:space="preserve"> non si procede alla valutazione.</w:t>
      </w:r>
    </w:p>
    <w:p w:rsidR="00A05233" w:rsidRPr="00AB1C24" w:rsidRDefault="00A05233">
      <w:pPr>
        <w:pStyle w:val="Paragrafoelenco"/>
        <w:rPr>
          <w:b/>
          <w:color w:val="auto"/>
        </w:rPr>
      </w:pPr>
    </w:p>
    <w:p w:rsidR="00A05233" w:rsidRPr="00AB1C24" w:rsidRDefault="006C3442" w:rsidP="00FA1678">
      <w:pPr>
        <w:pStyle w:val="Paragrafoelenco"/>
        <w:ind w:left="0"/>
        <w:rPr>
          <w:color w:val="auto"/>
        </w:rPr>
      </w:pPr>
      <w:r w:rsidRPr="00AB1C24">
        <w:rPr>
          <w:b/>
          <w:color w:val="auto"/>
        </w:rPr>
        <w:t>2) Valutazione della performance organizzativa</w:t>
      </w:r>
      <w:r w:rsidRPr="00AB1C24">
        <w:rPr>
          <w:color w:val="auto"/>
        </w:rPr>
        <w:t xml:space="preserve">: attribuzione di punteggi in ragione del conseguimento di risultati definiti mediante l’assegnazione di obiettivi </w:t>
      </w:r>
      <w:r w:rsidR="00F06ABB">
        <w:rPr>
          <w:color w:val="auto"/>
        </w:rPr>
        <w:t xml:space="preserve">che possono essere </w:t>
      </w:r>
      <w:bookmarkStart w:id="3" w:name="_GoBack"/>
      <w:bookmarkEnd w:id="3"/>
      <w:r w:rsidRPr="00AB1C24">
        <w:rPr>
          <w:color w:val="auto"/>
        </w:rPr>
        <w:t>distinti in tre diverse tipologie:</w:t>
      </w:r>
    </w:p>
    <w:p w:rsidR="00A05233" w:rsidRPr="00AB1C24" w:rsidRDefault="006C3442">
      <w:pPr>
        <w:pStyle w:val="Paragrafoelenco"/>
        <w:numPr>
          <w:ilvl w:val="0"/>
          <w:numId w:val="8"/>
        </w:numPr>
        <w:rPr>
          <w:color w:val="auto"/>
        </w:rPr>
      </w:pPr>
      <w:proofErr w:type="gramStart"/>
      <w:r w:rsidRPr="00AB1C24">
        <w:rPr>
          <w:b/>
          <w:bCs/>
          <w:color w:val="auto"/>
        </w:rPr>
        <w:t>obiettivi</w:t>
      </w:r>
      <w:proofErr w:type="gramEnd"/>
      <w:r w:rsidRPr="00AB1C24">
        <w:rPr>
          <w:b/>
          <w:bCs/>
          <w:color w:val="auto"/>
        </w:rPr>
        <w:t xml:space="preserve"> trasversali</w:t>
      </w:r>
      <w:r w:rsidRPr="00AB1C24">
        <w:rPr>
          <w:color w:val="auto"/>
        </w:rPr>
        <w:t>: ovvero obiettivi che riguardano più aree organizzative dell’Ente, al cui raggiungimento il dirigente/titolare di posizione organizzativa partecipa direttamente, in collaborazione con altri dirigenti/titolari di posizione organizzativa;</w:t>
      </w:r>
    </w:p>
    <w:p w:rsidR="00A05233" w:rsidRPr="00AB1C24" w:rsidRDefault="006C3442">
      <w:pPr>
        <w:pStyle w:val="Paragrafoelenco"/>
        <w:numPr>
          <w:ilvl w:val="0"/>
          <w:numId w:val="8"/>
        </w:numPr>
        <w:rPr>
          <w:color w:val="auto"/>
        </w:rPr>
      </w:pPr>
      <w:proofErr w:type="gramStart"/>
      <w:r w:rsidRPr="00AB1C24">
        <w:rPr>
          <w:b/>
          <w:bCs/>
          <w:color w:val="auto"/>
        </w:rPr>
        <w:t>obiettivi</w:t>
      </w:r>
      <w:proofErr w:type="gramEnd"/>
      <w:r w:rsidRPr="00AB1C24">
        <w:rPr>
          <w:b/>
          <w:bCs/>
          <w:color w:val="auto"/>
        </w:rPr>
        <w:t xml:space="preserve"> settoriali</w:t>
      </w:r>
      <w:r w:rsidRPr="00AB1C24">
        <w:rPr>
          <w:color w:val="auto"/>
        </w:rPr>
        <w:t xml:space="preserve">: ovvero obiettivi attribuiti all’area organizzativa (o alle aree organizzative) di diretta responsabilità del dirigente/titolare di posizione organizzativa, relativi al conseguimento di determinati standard di servizio, livelli di gradimento da parte dell’utenza, progetti specifici; </w:t>
      </w:r>
    </w:p>
    <w:p w:rsidR="00A05233" w:rsidRPr="00AB1C24" w:rsidRDefault="006C3442">
      <w:pPr>
        <w:pStyle w:val="Paragrafoelenco"/>
        <w:numPr>
          <w:ilvl w:val="0"/>
          <w:numId w:val="8"/>
        </w:numPr>
        <w:rPr>
          <w:color w:val="auto"/>
        </w:rPr>
      </w:pPr>
      <w:proofErr w:type="gramStart"/>
      <w:r w:rsidRPr="00AB1C24">
        <w:rPr>
          <w:b/>
          <w:bCs/>
          <w:color w:val="auto"/>
        </w:rPr>
        <w:t>obiettivi</w:t>
      </w:r>
      <w:proofErr w:type="gramEnd"/>
      <w:r w:rsidRPr="00AB1C24">
        <w:rPr>
          <w:b/>
          <w:bCs/>
          <w:color w:val="auto"/>
        </w:rPr>
        <w:t xml:space="preserve"> individuali</w:t>
      </w:r>
      <w:r w:rsidRPr="00AB1C24">
        <w:rPr>
          <w:color w:val="auto"/>
        </w:rPr>
        <w:t>: ovvero obiettivi attribuiti specificatamente al dirigente/titolare di posizione organizzativa in relazione al ruolo assegnato, con particolare riguardo a specifiche attività di tipo professionale o all’attuazione di specifici adempimenti.</w:t>
      </w:r>
    </w:p>
    <w:p w:rsidR="00A05233" w:rsidRPr="00AB1C24" w:rsidRDefault="00A05233">
      <w:pPr>
        <w:pStyle w:val="Paragrafoelenco"/>
        <w:ind w:left="1440"/>
        <w:rPr>
          <w:color w:val="auto"/>
        </w:rPr>
      </w:pPr>
    </w:p>
    <w:p w:rsidR="00A05233" w:rsidRPr="00AB1C24" w:rsidRDefault="006C3442">
      <w:pPr>
        <w:pStyle w:val="Paragrafoelenco"/>
        <w:rPr>
          <w:color w:val="auto"/>
        </w:rPr>
      </w:pPr>
      <w:r w:rsidRPr="00AB1C24">
        <w:rPr>
          <w:color w:val="auto"/>
        </w:rPr>
        <w:t xml:space="preserve">A ciascun obiettivo viene attribuito, nell’ambito del Piano della Performance, un “peso di incidenza”, in funzione della specificità e della rilevanza riconosciute. </w:t>
      </w:r>
      <w:r w:rsidR="004D7D8B" w:rsidRPr="00AB1C24">
        <w:rPr>
          <w:color w:val="auto"/>
        </w:rPr>
        <w:t>(</w:t>
      </w:r>
      <w:proofErr w:type="spellStart"/>
      <w:r w:rsidR="004D7D8B" w:rsidRPr="00AB1C24">
        <w:rPr>
          <w:color w:val="auto"/>
        </w:rPr>
        <w:t>Cfr</w:t>
      </w:r>
      <w:proofErr w:type="spellEnd"/>
      <w:r w:rsidR="004D7D8B" w:rsidRPr="00AB1C24">
        <w:rPr>
          <w:color w:val="auto"/>
        </w:rPr>
        <w:t xml:space="preserve"> lettera A1 della scheda - </w:t>
      </w:r>
      <w:r w:rsidRPr="00AB1C24">
        <w:rPr>
          <w:b/>
          <w:bCs/>
          <w:color w:val="auto"/>
        </w:rPr>
        <w:t xml:space="preserve">Max. punti </w:t>
      </w:r>
      <w:r w:rsidR="004D7D8B" w:rsidRPr="00AB1C24">
        <w:rPr>
          <w:b/>
          <w:bCs/>
          <w:color w:val="auto"/>
        </w:rPr>
        <w:t>60).</w:t>
      </w:r>
    </w:p>
    <w:p w:rsidR="00A05233" w:rsidRPr="00AB1C24" w:rsidRDefault="00A05233">
      <w:pPr>
        <w:pStyle w:val="Paragrafoelenco"/>
        <w:ind w:left="1080"/>
        <w:rPr>
          <w:color w:val="auto"/>
        </w:rPr>
      </w:pPr>
    </w:p>
    <w:p w:rsidR="00A05233" w:rsidRPr="00AB1C24" w:rsidRDefault="006C3442" w:rsidP="00FA1678">
      <w:pPr>
        <w:rPr>
          <w:color w:val="auto"/>
        </w:rPr>
      </w:pPr>
      <w:r w:rsidRPr="00AB1C24">
        <w:rPr>
          <w:b/>
          <w:color w:val="auto"/>
        </w:rPr>
        <w:t>3) Valutazione della performance individuale</w:t>
      </w:r>
      <w:r w:rsidRPr="00AB1C24">
        <w:rPr>
          <w:color w:val="auto"/>
        </w:rPr>
        <w:t>: attribuzione di un punteggio in relazione a specifici indicatori di comportamenti professionali (</w:t>
      </w:r>
      <w:r w:rsidR="004D7D8B" w:rsidRPr="00AB1C24">
        <w:rPr>
          <w:color w:val="auto"/>
        </w:rPr>
        <w:t xml:space="preserve">Cfr. lettera A2 della scheda - </w:t>
      </w:r>
      <w:r w:rsidRPr="00AB1C24">
        <w:rPr>
          <w:b/>
          <w:color w:val="auto"/>
        </w:rPr>
        <w:t xml:space="preserve">Max. punti 40) </w:t>
      </w:r>
      <w:r w:rsidRPr="00AB1C24">
        <w:rPr>
          <w:color w:val="auto"/>
        </w:rPr>
        <w:t xml:space="preserve">e a seguito dell’eventuale riconoscimento di </w:t>
      </w:r>
      <w:r w:rsidRPr="00AB1C24">
        <w:rPr>
          <w:b/>
          <w:bCs/>
          <w:color w:val="auto"/>
        </w:rPr>
        <w:t xml:space="preserve">fattori di incremento </w:t>
      </w:r>
      <w:r w:rsidRPr="00AB1C24">
        <w:rPr>
          <w:color w:val="auto"/>
        </w:rPr>
        <w:t xml:space="preserve">e/o </w:t>
      </w:r>
      <w:r w:rsidRPr="00AB1C24">
        <w:rPr>
          <w:b/>
          <w:bCs/>
          <w:color w:val="auto"/>
        </w:rPr>
        <w:t>fattori di riduzione.</w:t>
      </w:r>
    </w:p>
    <w:p w:rsidR="00A05233" w:rsidRPr="00AB1C24" w:rsidRDefault="00A05233">
      <w:pPr>
        <w:pStyle w:val="Paragrafoelenco"/>
        <w:ind w:left="1080"/>
        <w:rPr>
          <w:b/>
          <w:bCs/>
          <w:color w:val="auto"/>
          <w:szCs w:val="22"/>
        </w:rPr>
      </w:pPr>
    </w:p>
    <w:p w:rsidR="00A05233" w:rsidRPr="00AB1C24" w:rsidRDefault="006C3442" w:rsidP="00FA1678">
      <w:pPr>
        <w:pStyle w:val="Paragrafoelenco"/>
        <w:ind w:left="709" w:hanging="425"/>
        <w:rPr>
          <w:color w:val="auto"/>
        </w:rPr>
      </w:pPr>
      <w:r w:rsidRPr="00AB1C24">
        <w:rPr>
          <w:b/>
          <w:bCs/>
          <w:color w:val="auto"/>
          <w:szCs w:val="22"/>
        </w:rPr>
        <w:t xml:space="preserve">a) </w:t>
      </w:r>
      <w:r w:rsidR="00FA1678" w:rsidRPr="00AB1C24">
        <w:rPr>
          <w:b/>
          <w:bCs/>
          <w:color w:val="auto"/>
          <w:szCs w:val="22"/>
        </w:rPr>
        <w:tab/>
      </w:r>
      <w:r w:rsidRPr="00AB1C24">
        <w:rPr>
          <w:b/>
          <w:color w:val="auto"/>
          <w:szCs w:val="22"/>
        </w:rPr>
        <w:t>Capacità e fattori comportamentali valutati:</w:t>
      </w:r>
    </w:p>
    <w:p w:rsidR="00A05233" w:rsidRPr="00AB1C24" w:rsidRDefault="006C3442" w:rsidP="00FA1678">
      <w:pPr>
        <w:pStyle w:val="Paragrafoelenco"/>
        <w:numPr>
          <w:ilvl w:val="0"/>
          <w:numId w:val="7"/>
        </w:numPr>
        <w:ind w:left="993" w:hanging="284"/>
        <w:rPr>
          <w:color w:val="auto"/>
        </w:rPr>
      </w:pPr>
      <w:proofErr w:type="gramStart"/>
      <w:r w:rsidRPr="00AB1C24">
        <w:rPr>
          <w:color w:val="auto"/>
          <w:szCs w:val="22"/>
        </w:rPr>
        <w:t>gestione</w:t>
      </w:r>
      <w:proofErr w:type="gramEnd"/>
      <w:r w:rsidRPr="00AB1C24">
        <w:rPr>
          <w:color w:val="auto"/>
          <w:szCs w:val="22"/>
        </w:rPr>
        <w:t xml:space="preserve"> dei conflitti, leadership, clima interno </w:t>
      </w:r>
    </w:p>
    <w:p w:rsidR="00A05233" w:rsidRPr="00AB1C24" w:rsidRDefault="006C3442" w:rsidP="00FA1678">
      <w:pPr>
        <w:pStyle w:val="Paragrafoelenco"/>
        <w:numPr>
          <w:ilvl w:val="0"/>
          <w:numId w:val="7"/>
        </w:numPr>
        <w:ind w:left="993" w:hanging="284"/>
        <w:rPr>
          <w:color w:val="auto"/>
        </w:rPr>
      </w:pPr>
      <w:proofErr w:type="gramStart"/>
      <w:r w:rsidRPr="00AB1C24">
        <w:rPr>
          <w:color w:val="auto"/>
          <w:szCs w:val="22"/>
        </w:rPr>
        <w:t>motivazione</w:t>
      </w:r>
      <w:proofErr w:type="gramEnd"/>
      <w:r w:rsidRPr="00AB1C24">
        <w:rPr>
          <w:color w:val="auto"/>
          <w:szCs w:val="22"/>
        </w:rPr>
        <w:t>, guida, sviluppo  dei collaboratori</w:t>
      </w:r>
    </w:p>
    <w:p w:rsidR="00A05233" w:rsidRPr="00AB1C24" w:rsidRDefault="006C3442" w:rsidP="00FA1678">
      <w:pPr>
        <w:pStyle w:val="Paragrafoelenco"/>
        <w:numPr>
          <w:ilvl w:val="0"/>
          <w:numId w:val="7"/>
        </w:numPr>
        <w:ind w:left="993" w:hanging="284"/>
        <w:rPr>
          <w:color w:val="auto"/>
        </w:rPr>
      </w:pPr>
      <w:proofErr w:type="gramStart"/>
      <w:r w:rsidRPr="00AB1C24">
        <w:rPr>
          <w:color w:val="auto"/>
          <w:szCs w:val="22"/>
        </w:rPr>
        <w:t>valutazione</w:t>
      </w:r>
      <w:proofErr w:type="gramEnd"/>
      <w:r w:rsidRPr="00AB1C24">
        <w:rPr>
          <w:color w:val="auto"/>
          <w:szCs w:val="22"/>
        </w:rPr>
        <w:t xml:space="preserve"> dei collaboratori: capacità di differenziazione</w:t>
      </w:r>
    </w:p>
    <w:p w:rsidR="00A05233" w:rsidRPr="00AB1C24" w:rsidRDefault="006C3442" w:rsidP="00FA1678">
      <w:pPr>
        <w:pStyle w:val="Paragrafoelenco"/>
        <w:numPr>
          <w:ilvl w:val="0"/>
          <w:numId w:val="7"/>
        </w:numPr>
        <w:ind w:left="993" w:hanging="284"/>
        <w:rPr>
          <w:color w:val="auto"/>
        </w:rPr>
      </w:pPr>
      <w:proofErr w:type="gramStart"/>
      <w:r w:rsidRPr="00AB1C24">
        <w:rPr>
          <w:color w:val="auto"/>
          <w:szCs w:val="22"/>
        </w:rPr>
        <w:t>gestione</w:t>
      </w:r>
      <w:proofErr w:type="gramEnd"/>
      <w:r w:rsidRPr="00AB1C24">
        <w:rPr>
          <w:color w:val="auto"/>
          <w:szCs w:val="22"/>
        </w:rPr>
        <w:t xml:space="preserve"> delle emergenze e dei cambiamenti</w:t>
      </w:r>
    </w:p>
    <w:p w:rsidR="00A05233" w:rsidRPr="00AB1C24" w:rsidRDefault="006C3442" w:rsidP="00FA1678">
      <w:pPr>
        <w:pStyle w:val="Paragrafoelenco"/>
        <w:numPr>
          <w:ilvl w:val="0"/>
          <w:numId w:val="7"/>
        </w:numPr>
        <w:ind w:left="993" w:hanging="284"/>
        <w:rPr>
          <w:color w:val="auto"/>
        </w:rPr>
      </w:pPr>
      <w:proofErr w:type="gramStart"/>
      <w:r w:rsidRPr="00AB1C24">
        <w:rPr>
          <w:color w:val="auto"/>
          <w:szCs w:val="22"/>
        </w:rPr>
        <w:t>rispetto</w:t>
      </w:r>
      <w:proofErr w:type="gramEnd"/>
      <w:r w:rsidRPr="00AB1C24">
        <w:rPr>
          <w:color w:val="auto"/>
          <w:szCs w:val="22"/>
        </w:rPr>
        <w:t xml:space="preserve"> delle regole senza formalismi</w:t>
      </w:r>
    </w:p>
    <w:p w:rsidR="00A05233" w:rsidRPr="00AB1C24" w:rsidRDefault="006C3442" w:rsidP="00FA1678">
      <w:pPr>
        <w:pStyle w:val="Paragrafoelenco"/>
        <w:numPr>
          <w:ilvl w:val="0"/>
          <w:numId w:val="7"/>
        </w:numPr>
        <w:ind w:left="993" w:hanging="284"/>
        <w:rPr>
          <w:color w:val="auto"/>
        </w:rPr>
      </w:pPr>
      <w:r w:rsidRPr="00AB1C24">
        <w:rPr>
          <w:color w:val="auto"/>
          <w:szCs w:val="22"/>
        </w:rPr>
        <w:t>Integrazione con gli organi politici e di controllo interno</w:t>
      </w:r>
    </w:p>
    <w:p w:rsidR="00A05233" w:rsidRPr="00AB1C24" w:rsidRDefault="006C3442" w:rsidP="00FA1678">
      <w:pPr>
        <w:pStyle w:val="Paragrafoelenco"/>
        <w:numPr>
          <w:ilvl w:val="0"/>
          <w:numId w:val="7"/>
        </w:numPr>
        <w:ind w:left="993" w:hanging="284"/>
        <w:rPr>
          <w:color w:val="auto"/>
        </w:rPr>
      </w:pPr>
      <w:proofErr w:type="gramStart"/>
      <w:r w:rsidRPr="00AB1C24">
        <w:rPr>
          <w:color w:val="auto"/>
          <w:szCs w:val="22"/>
        </w:rPr>
        <w:t>integrazione</w:t>
      </w:r>
      <w:proofErr w:type="gramEnd"/>
      <w:r w:rsidRPr="00AB1C24">
        <w:rPr>
          <w:color w:val="auto"/>
          <w:szCs w:val="22"/>
        </w:rPr>
        <w:t xml:space="preserve"> e </w:t>
      </w:r>
      <w:proofErr w:type="spellStart"/>
      <w:r w:rsidRPr="00AB1C24">
        <w:rPr>
          <w:color w:val="auto"/>
          <w:szCs w:val="22"/>
        </w:rPr>
        <w:t>interfunzionalità</w:t>
      </w:r>
      <w:proofErr w:type="spellEnd"/>
      <w:r w:rsidRPr="00AB1C24">
        <w:rPr>
          <w:color w:val="auto"/>
          <w:szCs w:val="22"/>
        </w:rPr>
        <w:t xml:space="preserve"> con gli altri dirigenti/titolari di p. o. e con il segretario </w:t>
      </w:r>
      <w:r w:rsidR="00547C9B" w:rsidRPr="00AB1C24">
        <w:rPr>
          <w:color w:val="auto"/>
          <w:szCs w:val="22"/>
        </w:rPr>
        <w:t>dell’Ente</w:t>
      </w:r>
    </w:p>
    <w:p w:rsidR="00A05233" w:rsidRPr="00AB1C24" w:rsidRDefault="006C3442" w:rsidP="00FA1678">
      <w:pPr>
        <w:pStyle w:val="Paragrafoelenco"/>
        <w:numPr>
          <w:ilvl w:val="0"/>
          <w:numId w:val="7"/>
        </w:numPr>
        <w:ind w:left="993" w:hanging="284"/>
        <w:rPr>
          <w:color w:val="auto"/>
        </w:rPr>
      </w:pPr>
      <w:proofErr w:type="gramStart"/>
      <w:r w:rsidRPr="00AB1C24">
        <w:rPr>
          <w:color w:val="auto"/>
          <w:szCs w:val="22"/>
        </w:rPr>
        <w:t>qualità</w:t>
      </w:r>
      <w:proofErr w:type="gramEnd"/>
      <w:r w:rsidRPr="00AB1C24">
        <w:rPr>
          <w:color w:val="auto"/>
          <w:szCs w:val="22"/>
        </w:rPr>
        <w:t xml:space="preserve"> dell’apporto individuale: gestione del ruolo e </w:t>
      </w:r>
      <w:proofErr w:type="spellStart"/>
      <w:r w:rsidRPr="00AB1C24">
        <w:rPr>
          <w:color w:val="auto"/>
          <w:szCs w:val="22"/>
        </w:rPr>
        <w:t>problem</w:t>
      </w:r>
      <w:proofErr w:type="spellEnd"/>
      <w:r w:rsidRPr="00AB1C24">
        <w:rPr>
          <w:color w:val="auto"/>
          <w:szCs w:val="22"/>
        </w:rPr>
        <w:t xml:space="preserve"> </w:t>
      </w:r>
      <w:proofErr w:type="spellStart"/>
      <w:r w:rsidRPr="00AB1C24">
        <w:rPr>
          <w:color w:val="auto"/>
          <w:szCs w:val="22"/>
        </w:rPr>
        <w:t>solving</w:t>
      </w:r>
      <w:proofErr w:type="spellEnd"/>
      <w:r w:rsidRPr="00AB1C24">
        <w:rPr>
          <w:color w:val="auto"/>
          <w:szCs w:val="22"/>
        </w:rPr>
        <w:t xml:space="preserve">  </w:t>
      </w:r>
    </w:p>
    <w:p w:rsidR="00A05233" w:rsidRPr="00AB1C24" w:rsidRDefault="00A05233" w:rsidP="00FA1678">
      <w:pPr>
        <w:pStyle w:val="Paragrafoelenco"/>
        <w:ind w:left="709" w:hanging="425"/>
        <w:rPr>
          <w:color w:val="auto"/>
        </w:rPr>
      </w:pPr>
    </w:p>
    <w:p w:rsidR="00A05233" w:rsidRPr="00AB1C24" w:rsidRDefault="006C3442" w:rsidP="00FA1678">
      <w:pPr>
        <w:pStyle w:val="Paragrafoelenco"/>
        <w:ind w:left="709" w:hanging="425"/>
        <w:rPr>
          <w:color w:val="auto"/>
        </w:rPr>
      </w:pPr>
      <w:bookmarkStart w:id="4" w:name="_GoBack1"/>
      <w:bookmarkEnd w:id="4"/>
      <w:r w:rsidRPr="00AB1C24">
        <w:rPr>
          <w:b/>
          <w:bCs/>
          <w:color w:val="auto"/>
        </w:rPr>
        <w:t xml:space="preserve">b) </w:t>
      </w:r>
      <w:r w:rsidR="00FA1678" w:rsidRPr="00AB1C24">
        <w:rPr>
          <w:b/>
          <w:bCs/>
          <w:color w:val="auto"/>
        </w:rPr>
        <w:tab/>
      </w:r>
      <w:r w:rsidRPr="00AB1C24">
        <w:rPr>
          <w:b/>
          <w:bCs/>
          <w:color w:val="auto"/>
        </w:rPr>
        <w:t>F</w:t>
      </w:r>
      <w:r w:rsidRPr="00AB1C24">
        <w:rPr>
          <w:b/>
          <w:color w:val="auto"/>
        </w:rPr>
        <w:t xml:space="preserve">attori di incremento: </w:t>
      </w:r>
      <w:r w:rsidRPr="00AB1C24">
        <w:rPr>
          <w:color w:val="auto"/>
        </w:rPr>
        <w:t xml:space="preserve">hanno lo scopo di valorizzare l’esercizio di responsabilità o le attività di rilievo che siano state svolte per fronteggiare l’emergenza, l’urgenza o la carenza nell’utilizzo degli strumenti di programmazione.  </w:t>
      </w:r>
      <w:r w:rsidR="00DB03EC" w:rsidRPr="00AB1C24">
        <w:rPr>
          <w:color w:val="auto"/>
        </w:rPr>
        <w:t>(</w:t>
      </w:r>
      <w:proofErr w:type="spellStart"/>
      <w:r w:rsidR="00DB03EC" w:rsidRPr="00AB1C24">
        <w:rPr>
          <w:color w:val="auto"/>
        </w:rPr>
        <w:t>Cfr</w:t>
      </w:r>
      <w:proofErr w:type="spellEnd"/>
      <w:r w:rsidR="00DB03EC" w:rsidRPr="00AB1C24">
        <w:rPr>
          <w:color w:val="auto"/>
        </w:rPr>
        <w:t xml:space="preserve"> lettera B della scheda - </w:t>
      </w:r>
      <w:proofErr w:type="spellStart"/>
      <w:r w:rsidR="00DB03EC" w:rsidRPr="00AB1C24">
        <w:rPr>
          <w:b/>
          <w:color w:val="auto"/>
        </w:rPr>
        <w:t>Max</w:t>
      </w:r>
      <w:proofErr w:type="spellEnd"/>
      <w:r w:rsidR="00DB03EC" w:rsidRPr="00AB1C24">
        <w:rPr>
          <w:b/>
          <w:color w:val="auto"/>
        </w:rPr>
        <w:t xml:space="preserve"> punti 15).</w:t>
      </w:r>
    </w:p>
    <w:p w:rsidR="00A05233" w:rsidRPr="00AB1C24" w:rsidRDefault="006C3442" w:rsidP="00FA1678">
      <w:pPr>
        <w:pStyle w:val="Paragrafoelenco"/>
        <w:ind w:left="709"/>
        <w:rPr>
          <w:color w:val="auto"/>
        </w:rPr>
      </w:pPr>
      <w:r w:rsidRPr="00AB1C24">
        <w:rPr>
          <w:color w:val="auto"/>
        </w:rPr>
        <w:t xml:space="preserve">In particolare, il punteggio è attribuito in relazione a particolari benefici per l’attività amministrativa o all’attuazione di attività, di particolare rilievo o impegno, non previste (né prevedibili) nella fase di programmazione. </w:t>
      </w:r>
    </w:p>
    <w:p w:rsidR="00A05233" w:rsidRPr="00AB1C24" w:rsidRDefault="00A05233">
      <w:pPr>
        <w:pStyle w:val="Paragrafoelenco"/>
        <w:rPr>
          <w:color w:val="auto"/>
        </w:rPr>
      </w:pPr>
    </w:p>
    <w:tbl>
      <w:tblPr>
        <w:tblStyle w:val="Grigliatabella"/>
        <w:tblW w:w="9674" w:type="dxa"/>
        <w:tblInd w:w="31" w:type="dxa"/>
        <w:tblCellMar>
          <w:left w:w="68" w:type="dxa"/>
        </w:tblCellMar>
        <w:tblLook w:val="04A0" w:firstRow="1" w:lastRow="0" w:firstColumn="1" w:lastColumn="0" w:noHBand="0" w:noVBand="1"/>
      </w:tblPr>
      <w:tblGrid>
        <w:gridCol w:w="8112"/>
        <w:gridCol w:w="1562"/>
      </w:tblGrid>
      <w:tr w:rsidR="00AB1C24" w:rsidRPr="00AB1C24">
        <w:tc>
          <w:tcPr>
            <w:tcW w:w="8112" w:type="dxa"/>
            <w:shd w:val="clear" w:color="auto" w:fill="auto"/>
            <w:tcMar>
              <w:left w:w="68" w:type="dxa"/>
            </w:tcMar>
          </w:tcPr>
          <w:p w:rsidR="00A05233" w:rsidRPr="00AB1C24" w:rsidRDefault="006C3442">
            <w:pPr>
              <w:pStyle w:val="Paragrafoelenco"/>
              <w:numPr>
                <w:ilvl w:val="1"/>
                <w:numId w:val="2"/>
              </w:numPr>
              <w:ind w:left="426"/>
              <w:rPr>
                <w:color w:val="auto"/>
              </w:rPr>
            </w:pPr>
            <w:r w:rsidRPr="00AB1C24">
              <w:rPr>
                <w:color w:val="auto"/>
                <w:sz w:val="20"/>
                <w:szCs w:val="20"/>
              </w:rPr>
              <w:t>Eventuali ulteriori attività, di particolare rilevanza, prestate nell’anno che non siano state oggetto di programmazione</w:t>
            </w:r>
          </w:p>
        </w:tc>
        <w:tc>
          <w:tcPr>
            <w:tcW w:w="1562" w:type="dxa"/>
            <w:shd w:val="clear" w:color="auto" w:fill="auto"/>
            <w:tcMar>
              <w:left w:w="68" w:type="dxa"/>
            </w:tcMar>
          </w:tcPr>
          <w:p w:rsidR="00A05233" w:rsidRPr="00AB1C24" w:rsidRDefault="006C3442">
            <w:pPr>
              <w:ind w:left="66"/>
              <w:rPr>
                <w:color w:val="auto"/>
              </w:rPr>
            </w:pPr>
            <w:r w:rsidRPr="00AB1C24">
              <w:rPr>
                <w:color w:val="auto"/>
                <w:sz w:val="20"/>
                <w:szCs w:val="20"/>
              </w:rPr>
              <w:t>Fino a 3 punti</w:t>
            </w:r>
          </w:p>
        </w:tc>
      </w:tr>
      <w:tr w:rsidR="00AB1C24" w:rsidRPr="00AB1C24">
        <w:tc>
          <w:tcPr>
            <w:tcW w:w="8112" w:type="dxa"/>
            <w:shd w:val="clear" w:color="auto" w:fill="auto"/>
            <w:tcMar>
              <w:left w:w="68" w:type="dxa"/>
            </w:tcMar>
          </w:tcPr>
          <w:p w:rsidR="00A05233" w:rsidRPr="00AB1C24" w:rsidRDefault="006C3442">
            <w:pPr>
              <w:pStyle w:val="Paragrafoelenco"/>
              <w:numPr>
                <w:ilvl w:val="1"/>
                <w:numId w:val="2"/>
              </w:numPr>
              <w:ind w:left="426"/>
              <w:rPr>
                <w:color w:val="auto"/>
              </w:rPr>
            </w:pPr>
            <w:r w:rsidRPr="00AB1C24">
              <w:rPr>
                <w:color w:val="auto"/>
                <w:sz w:val="20"/>
                <w:szCs w:val="20"/>
              </w:rPr>
              <w:t>Effettuazione di attività complesse per effetto di imprevisti o per nuovi adempimenti</w:t>
            </w:r>
          </w:p>
        </w:tc>
        <w:tc>
          <w:tcPr>
            <w:tcW w:w="1562" w:type="dxa"/>
            <w:shd w:val="clear" w:color="auto" w:fill="auto"/>
            <w:tcMar>
              <w:left w:w="68" w:type="dxa"/>
            </w:tcMar>
          </w:tcPr>
          <w:p w:rsidR="00A05233" w:rsidRPr="00AB1C24" w:rsidRDefault="006C3442">
            <w:pPr>
              <w:ind w:left="66"/>
              <w:rPr>
                <w:color w:val="auto"/>
              </w:rPr>
            </w:pPr>
            <w:r w:rsidRPr="00AB1C24">
              <w:rPr>
                <w:color w:val="auto"/>
                <w:sz w:val="20"/>
                <w:szCs w:val="20"/>
              </w:rPr>
              <w:t>Fino a 3 punti</w:t>
            </w:r>
          </w:p>
        </w:tc>
      </w:tr>
      <w:tr w:rsidR="00AB1C24" w:rsidRPr="00AB1C24">
        <w:tc>
          <w:tcPr>
            <w:tcW w:w="8112" w:type="dxa"/>
            <w:shd w:val="clear" w:color="auto" w:fill="auto"/>
            <w:tcMar>
              <w:left w:w="68" w:type="dxa"/>
            </w:tcMar>
          </w:tcPr>
          <w:p w:rsidR="00A05233" w:rsidRPr="00AB1C24" w:rsidRDefault="006C3442">
            <w:pPr>
              <w:pStyle w:val="Paragrafoelenco"/>
              <w:numPr>
                <w:ilvl w:val="1"/>
                <w:numId w:val="2"/>
              </w:numPr>
              <w:ind w:left="426"/>
              <w:rPr>
                <w:color w:val="auto"/>
              </w:rPr>
            </w:pPr>
            <w:r w:rsidRPr="00AB1C24">
              <w:rPr>
                <w:color w:val="auto"/>
                <w:sz w:val="20"/>
                <w:szCs w:val="20"/>
              </w:rPr>
              <w:t xml:space="preserve">Attività svolta in sostituzione di altri colleghi temporaneamente impossibilitati </w:t>
            </w:r>
          </w:p>
        </w:tc>
        <w:tc>
          <w:tcPr>
            <w:tcW w:w="1562" w:type="dxa"/>
            <w:shd w:val="clear" w:color="auto" w:fill="auto"/>
            <w:tcMar>
              <w:left w:w="68" w:type="dxa"/>
            </w:tcMar>
          </w:tcPr>
          <w:p w:rsidR="00A05233" w:rsidRPr="00AB1C24" w:rsidRDefault="006C3442">
            <w:pPr>
              <w:ind w:left="66"/>
              <w:rPr>
                <w:color w:val="auto"/>
              </w:rPr>
            </w:pPr>
            <w:r w:rsidRPr="00AB1C24">
              <w:rPr>
                <w:color w:val="auto"/>
                <w:sz w:val="20"/>
                <w:szCs w:val="20"/>
              </w:rPr>
              <w:t>Fino a 3 punti</w:t>
            </w:r>
          </w:p>
        </w:tc>
      </w:tr>
      <w:tr w:rsidR="00AB1C24" w:rsidRPr="00AB1C24">
        <w:tc>
          <w:tcPr>
            <w:tcW w:w="8112" w:type="dxa"/>
            <w:shd w:val="clear" w:color="auto" w:fill="auto"/>
            <w:tcMar>
              <w:left w:w="68" w:type="dxa"/>
            </w:tcMar>
          </w:tcPr>
          <w:p w:rsidR="00A05233" w:rsidRPr="00AB1C24" w:rsidRDefault="006C3442">
            <w:pPr>
              <w:pStyle w:val="Paragrafoelenco"/>
              <w:numPr>
                <w:ilvl w:val="1"/>
                <w:numId w:val="2"/>
              </w:numPr>
              <w:ind w:left="426"/>
              <w:rPr>
                <w:color w:val="auto"/>
              </w:rPr>
            </w:pPr>
            <w:r w:rsidRPr="00AB1C24">
              <w:rPr>
                <w:color w:val="auto"/>
                <w:sz w:val="20"/>
                <w:szCs w:val="20"/>
              </w:rPr>
              <w:t>Particolari e comprovati benefici per l’Amministrazione in termini di economie di spesa, maggiori entrate, miglioramento dei servizi, miglioramento dell’immagine dell’ente</w:t>
            </w:r>
          </w:p>
        </w:tc>
        <w:tc>
          <w:tcPr>
            <w:tcW w:w="1562" w:type="dxa"/>
            <w:shd w:val="clear" w:color="auto" w:fill="auto"/>
            <w:tcMar>
              <w:left w:w="68" w:type="dxa"/>
            </w:tcMar>
          </w:tcPr>
          <w:p w:rsidR="00A05233" w:rsidRPr="00AB1C24" w:rsidRDefault="006C3442">
            <w:pPr>
              <w:ind w:left="66"/>
              <w:rPr>
                <w:color w:val="auto"/>
              </w:rPr>
            </w:pPr>
            <w:r w:rsidRPr="00AB1C24">
              <w:rPr>
                <w:color w:val="auto"/>
                <w:sz w:val="20"/>
                <w:szCs w:val="20"/>
              </w:rPr>
              <w:t>Fino a 3 punti</w:t>
            </w:r>
          </w:p>
        </w:tc>
      </w:tr>
      <w:tr w:rsidR="00AB1C24" w:rsidRPr="00AB1C24">
        <w:trPr>
          <w:trHeight w:val="460"/>
        </w:trPr>
        <w:tc>
          <w:tcPr>
            <w:tcW w:w="8112" w:type="dxa"/>
            <w:shd w:val="clear" w:color="auto" w:fill="auto"/>
            <w:tcMar>
              <w:left w:w="68" w:type="dxa"/>
            </w:tcMar>
          </w:tcPr>
          <w:p w:rsidR="00A05233" w:rsidRPr="00AB1C24" w:rsidRDefault="006C3442">
            <w:pPr>
              <w:pStyle w:val="Paragrafoelenco"/>
              <w:numPr>
                <w:ilvl w:val="1"/>
                <w:numId w:val="2"/>
              </w:numPr>
              <w:ind w:left="426"/>
              <w:rPr>
                <w:color w:val="auto"/>
              </w:rPr>
            </w:pPr>
            <w:r w:rsidRPr="00AB1C24">
              <w:rPr>
                <w:color w:val="auto"/>
                <w:sz w:val="20"/>
                <w:szCs w:val="20"/>
              </w:rPr>
              <w:t xml:space="preserve">Attivazione di particolari sistemi di integrazione e cooperazione, all’interno dell’ente, con i cittadini, le imprese o le altre istituzioni che abbiano determinato significativi benefici </w:t>
            </w:r>
          </w:p>
        </w:tc>
        <w:tc>
          <w:tcPr>
            <w:tcW w:w="1562" w:type="dxa"/>
            <w:shd w:val="clear" w:color="auto" w:fill="auto"/>
            <w:tcMar>
              <w:left w:w="68" w:type="dxa"/>
            </w:tcMar>
          </w:tcPr>
          <w:p w:rsidR="00A05233" w:rsidRPr="00AB1C24" w:rsidRDefault="006C3442">
            <w:pPr>
              <w:ind w:left="66"/>
              <w:rPr>
                <w:color w:val="auto"/>
              </w:rPr>
            </w:pPr>
            <w:r w:rsidRPr="00AB1C24">
              <w:rPr>
                <w:color w:val="auto"/>
                <w:sz w:val="20"/>
                <w:szCs w:val="20"/>
              </w:rPr>
              <w:t>Fino a 3 punti</w:t>
            </w:r>
          </w:p>
        </w:tc>
      </w:tr>
      <w:tr w:rsidR="00A05233" w:rsidRPr="00AB1C24">
        <w:trPr>
          <w:trHeight w:val="460"/>
        </w:trPr>
        <w:tc>
          <w:tcPr>
            <w:tcW w:w="8112" w:type="dxa"/>
            <w:shd w:val="clear" w:color="auto" w:fill="auto"/>
            <w:tcMar>
              <w:left w:w="68" w:type="dxa"/>
            </w:tcMar>
          </w:tcPr>
          <w:p w:rsidR="00A05233" w:rsidRPr="00AB1C24" w:rsidRDefault="00A05233">
            <w:pPr>
              <w:pStyle w:val="Paragrafoelenco"/>
              <w:ind w:left="426"/>
              <w:rPr>
                <w:color w:val="auto"/>
                <w:sz w:val="20"/>
                <w:szCs w:val="20"/>
              </w:rPr>
            </w:pPr>
          </w:p>
        </w:tc>
        <w:tc>
          <w:tcPr>
            <w:tcW w:w="1562" w:type="dxa"/>
            <w:shd w:val="clear" w:color="auto" w:fill="auto"/>
            <w:tcMar>
              <w:left w:w="68" w:type="dxa"/>
            </w:tcMar>
          </w:tcPr>
          <w:p w:rsidR="00A05233" w:rsidRPr="00AB1C24" w:rsidRDefault="006C3442">
            <w:pPr>
              <w:ind w:left="66"/>
              <w:rPr>
                <w:color w:val="auto"/>
              </w:rPr>
            </w:pPr>
            <w:r w:rsidRPr="00AB1C24">
              <w:rPr>
                <w:b/>
                <w:color w:val="auto"/>
                <w:sz w:val="20"/>
                <w:szCs w:val="20"/>
              </w:rPr>
              <w:t>Tot. Max 15 punti</w:t>
            </w:r>
          </w:p>
        </w:tc>
      </w:tr>
    </w:tbl>
    <w:p w:rsidR="00A05233" w:rsidRPr="00AB1C24" w:rsidRDefault="00A05233">
      <w:pPr>
        <w:rPr>
          <w:b/>
          <w:color w:val="auto"/>
        </w:rPr>
      </w:pPr>
    </w:p>
    <w:p w:rsidR="00A05233" w:rsidRPr="00AB1C24" w:rsidRDefault="006C3442" w:rsidP="00FA1678">
      <w:pPr>
        <w:pStyle w:val="Paragrafoelenco"/>
        <w:ind w:left="709" w:hanging="425"/>
        <w:rPr>
          <w:b/>
          <w:color w:val="auto"/>
        </w:rPr>
      </w:pPr>
      <w:r w:rsidRPr="00AB1C24">
        <w:rPr>
          <w:color w:val="auto"/>
        </w:rPr>
        <w:t xml:space="preserve">c) </w:t>
      </w:r>
      <w:r w:rsidR="00FA1678" w:rsidRPr="00AB1C24">
        <w:rPr>
          <w:color w:val="auto"/>
        </w:rPr>
        <w:tab/>
      </w:r>
      <w:r w:rsidRPr="00AB1C24">
        <w:rPr>
          <w:b/>
          <w:bCs/>
          <w:color w:val="auto"/>
        </w:rPr>
        <w:t>F</w:t>
      </w:r>
      <w:r w:rsidRPr="00AB1C24">
        <w:rPr>
          <w:b/>
          <w:color w:val="auto"/>
        </w:rPr>
        <w:t xml:space="preserve">attori di riduzione: </w:t>
      </w:r>
      <w:r w:rsidRPr="00AB1C24">
        <w:rPr>
          <w:color w:val="auto"/>
        </w:rPr>
        <w:t xml:space="preserve">esprimono una “valutazione di tipo oggettivo” sul comportamento del soggetto interessato, con riferimento al clima di lavoro, ai doveri di ufficio, nonché agli effetti che questi possono determinare nel contesto organizzativo e sul funzionamento complessivo dell’Amministrazione. </w:t>
      </w:r>
      <w:r w:rsidRPr="00AB1C24">
        <w:rPr>
          <w:b/>
          <w:color w:val="auto"/>
        </w:rPr>
        <w:t>Il valore della riduzione viene determinato in relazione alla gravità delle inadempienze e può variare fino ad annullare, nei casi più gravi, il punteggio conseguito nei precedenti fattori. L’applicazione del presente fattore è subordinata a una procedura che consenta all’interessato di produrre osservazioni (</w:t>
      </w:r>
      <w:r w:rsidR="004D7D8B" w:rsidRPr="00AB1C24">
        <w:rPr>
          <w:b/>
          <w:color w:val="auto"/>
        </w:rPr>
        <w:t xml:space="preserve">Cfr. lettera C della scheda - </w:t>
      </w:r>
      <w:proofErr w:type="spellStart"/>
      <w:r w:rsidRPr="00AB1C24">
        <w:rPr>
          <w:b/>
          <w:color w:val="auto"/>
        </w:rPr>
        <w:t>Max</w:t>
      </w:r>
      <w:proofErr w:type="spellEnd"/>
      <w:r w:rsidRPr="00AB1C24">
        <w:rPr>
          <w:b/>
          <w:color w:val="auto"/>
        </w:rPr>
        <w:t xml:space="preserve"> – 30 punti)</w:t>
      </w:r>
      <w:r w:rsidR="004D7D8B" w:rsidRPr="00AB1C24">
        <w:rPr>
          <w:b/>
          <w:color w:val="auto"/>
        </w:rPr>
        <w:t>.</w:t>
      </w:r>
    </w:p>
    <w:p w:rsidR="00A05233" w:rsidRPr="00AB1C24" w:rsidRDefault="006C3442" w:rsidP="00FA1678">
      <w:pPr>
        <w:pStyle w:val="Paragrafoelenco"/>
        <w:ind w:left="709"/>
        <w:rPr>
          <w:color w:val="auto"/>
        </w:rPr>
      </w:pPr>
      <w:r w:rsidRPr="00AB1C24">
        <w:rPr>
          <w:color w:val="auto"/>
        </w:rPr>
        <w:t xml:space="preserve">Il riconoscimento di fattori di riduzione consiste nell’applicazione di punteggi negativi in corrispondenza di oggettive inadempienze o del mancato rispetto di obblighi comportamentali, le cui fattispecie sono </w:t>
      </w:r>
      <w:r w:rsidR="004D7D8B" w:rsidRPr="00AB1C24">
        <w:rPr>
          <w:color w:val="auto"/>
        </w:rPr>
        <w:t>elencate nella tabella seguente:</w:t>
      </w:r>
    </w:p>
    <w:p w:rsidR="00A05233" w:rsidRPr="00AB1C24" w:rsidRDefault="00A05233">
      <w:pPr>
        <w:rPr>
          <w:color w:val="auto"/>
        </w:rPr>
      </w:pPr>
    </w:p>
    <w:tbl>
      <w:tblPr>
        <w:tblStyle w:val="Grigliatabella"/>
        <w:tblW w:w="9497" w:type="dxa"/>
        <w:tblInd w:w="350" w:type="dxa"/>
        <w:tblCellMar>
          <w:left w:w="68" w:type="dxa"/>
        </w:tblCellMar>
        <w:tblLook w:val="04A0" w:firstRow="1" w:lastRow="0" w:firstColumn="1" w:lastColumn="0" w:noHBand="0" w:noVBand="1"/>
      </w:tblPr>
      <w:tblGrid>
        <w:gridCol w:w="9497"/>
      </w:tblGrid>
      <w:tr w:rsidR="00AB1C24" w:rsidRPr="00AB1C24">
        <w:trPr>
          <w:trHeight w:val="292"/>
        </w:trPr>
        <w:tc>
          <w:tcPr>
            <w:tcW w:w="9497" w:type="dxa"/>
            <w:shd w:val="clear" w:color="auto" w:fill="auto"/>
            <w:tcMar>
              <w:left w:w="68" w:type="dxa"/>
            </w:tcMar>
          </w:tcPr>
          <w:p w:rsidR="00A05233" w:rsidRPr="00AB1C24" w:rsidRDefault="006C3442">
            <w:pPr>
              <w:pStyle w:val="Paragrafoelenco"/>
              <w:numPr>
                <w:ilvl w:val="0"/>
                <w:numId w:val="1"/>
              </w:numPr>
              <w:ind w:left="426"/>
              <w:rPr>
                <w:color w:val="auto"/>
              </w:rPr>
            </w:pPr>
            <w:r w:rsidRPr="00AB1C24">
              <w:rPr>
                <w:color w:val="auto"/>
                <w:sz w:val="20"/>
                <w:szCs w:val="20"/>
              </w:rPr>
              <w:t xml:space="preserve">Avere causato </w:t>
            </w:r>
            <w:r w:rsidRPr="00AB1C24">
              <w:rPr>
                <w:b/>
                <w:color w:val="auto"/>
                <w:sz w:val="20"/>
                <w:szCs w:val="20"/>
              </w:rPr>
              <w:t>danno all’immagine</w:t>
            </w:r>
            <w:r w:rsidRPr="00AB1C24">
              <w:rPr>
                <w:color w:val="auto"/>
                <w:sz w:val="20"/>
                <w:szCs w:val="20"/>
              </w:rPr>
              <w:t xml:space="preserve"> dell’ente</w:t>
            </w:r>
          </w:p>
        </w:tc>
      </w:tr>
      <w:tr w:rsidR="00AB1C24" w:rsidRPr="00AB1C24">
        <w:trPr>
          <w:trHeight w:val="501"/>
        </w:trPr>
        <w:tc>
          <w:tcPr>
            <w:tcW w:w="9497" w:type="dxa"/>
            <w:shd w:val="clear" w:color="auto" w:fill="auto"/>
            <w:tcMar>
              <w:left w:w="68" w:type="dxa"/>
            </w:tcMar>
          </w:tcPr>
          <w:p w:rsidR="00A05233" w:rsidRPr="00AB1C24" w:rsidRDefault="006C3442">
            <w:pPr>
              <w:pStyle w:val="Paragrafoelenco"/>
              <w:numPr>
                <w:ilvl w:val="0"/>
                <w:numId w:val="1"/>
              </w:numPr>
              <w:ind w:left="426"/>
              <w:rPr>
                <w:color w:val="auto"/>
              </w:rPr>
            </w:pPr>
            <w:r w:rsidRPr="00AB1C24">
              <w:rPr>
                <w:color w:val="auto"/>
                <w:sz w:val="20"/>
                <w:szCs w:val="20"/>
              </w:rPr>
              <w:t xml:space="preserve">Avere determinato un </w:t>
            </w:r>
            <w:r w:rsidRPr="00AB1C24">
              <w:rPr>
                <w:b/>
                <w:color w:val="auto"/>
                <w:sz w:val="20"/>
                <w:szCs w:val="20"/>
              </w:rPr>
              <w:t>danno economico</w:t>
            </w:r>
            <w:r w:rsidRPr="00AB1C24">
              <w:rPr>
                <w:color w:val="auto"/>
                <w:sz w:val="20"/>
                <w:szCs w:val="20"/>
              </w:rPr>
              <w:t xml:space="preserve"> a causa di inerzia o inadempimento</w:t>
            </w:r>
          </w:p>
        </w:tc>
      </w:tr>
      <w:tr w:rsidR="00AB1C24" w:rsidRPr="00AB1C24">
        <w:tc>
          <w:tcPr>
            <w:tcW w:w="9497" w:type="dxa"/>
            <w:shd w:val="clear" w:color="auto" w:fill="auto"/>
            <w:tcMar>
              <w:left w:w="68" w:type="dxa"/>
            </w:tcMar>
          </w:tcPr>
          <w:p w:rsidR="00A05233" w:rsidRPr="00AB1C24" w:rsidRDefault="006C3442">
            <w:pPr>
              <w:pStyle w:val="Paragrafoelenco"/>
              <w:numPr>
                <w:ilvl w:val="0"/>
                <w:numId w:val="1"/>
              </w:numPr>
              <w:ind w:left="426"/>
              <w:rPr>
                <w:color w:val="auto"/>
              </w:rPr>
            </w:pPr>
            <w:r w:rsidRPr="00AB1C24">
              <w:rPr>
                <w:b/>
                <w:color w:val="auto"/>
                <w:sz w:val="20"/>
                <w:szCs w:val="20"/>
              </w:rPr>
              <w:t>Mancato rispetto dei tempi procedimentali</w:t>
            </w:r>
            <w:r w:rsidRPr="00AB1C24">
              <w:rPr>
                <w:color w:val="auto"/>
                <w:sz w:val="20"/>
                <w:szCs w:val="20"/>
              </w:rPr>
              <w:t xml:space="preserve"> causando, avendone responsabilità, almeno uno dei seguenti casi:</w:t>
            </w:r>
          </w:p>
          <w:p w:rsidR="00A05233" w:rsidRPr="00AB1C24" w:rsidRDefault="006C3442">
            <w:pPr>
              <w:pStyle w:val="Paragrafoelenco"/>
              <w:numPr>
                <w:ilvl w:val="0"/>
                <w:numId w:val="3"/>
              </w:numPr>
              <w:rPr>
                <w:color w:val="auto"/>
              </w:rPr>
            </w:pPr>
            <w:r w:rsidRPr="00AB1C24">
              <w:rPr>
                <w:color w:val="auto"/>
                <w:sz w:val="20"/>
                <w:szCs w:val="20"/>
              </w:rPr>
              <w:lastRenderedPageBreak/>
              <w:t>Risarcimento del danno</w:t>
            </w:r>
          </w:p>
          <w:p w:rsidR="00A05233" w:rsidRPr="00AB1C24" w:rsidRDefault="006C3442">
            <w:pPr>
              <w:pStyle w:val="Paragrafoelenco"/>
              <w:numPr>
                <w:ilvl w:val="0"/>
                <w:numId w:val="3"/>
              </w:numPr>
              <w:rPr>
                <w:color w:val="auto"/>
              </w:rPr>
            </w:pPr>
            <w:r w:rsidRPr="00AB1C24">
              <w:rPr>
                <w:color w:val="auto"/>
                <w:sz w:val="20"/>
                <w:szCs w:val="20"/>
              </w:rPr>
              <w:t>Indennizzo</w:t>
            </w:r>
          </w:p>
          <w:p w:rsidR="00A05233" w:rsidRPr="00AB1C24" w:rsidRDefault="006C3442">
            <w:pPr>
              <w:pStyle w:val="Paragrafoelenco"/>
              <w:numPr>
                <w:ilvl w:val="0"/>
                <w:numId w:val="3"/>
              </w:numPr>
              <w:rPr>
                <w:color w:val="auto"/>
              </w:rPr>
            </w:pPr>
            <w:r w:rsidRPr="00AB1C24">
              <w:rPr>
                <w:color w:val="auto"/>
                <w:sz w:val="20"/>
                <w:szCs w:val="20"/>
              </w:rPr>
              <w:t>Commissario ad acta</w:t>
            </w:r>
          </w:p>
          <w:p w:rsidR="00A05233" w:rsidRPr="00AB1C24" w:rsidRDefault="006C3442">
            <w:pPr>
              <w:pStyle w:val="Paragrafoelenco"/>
              <w:numPr>
                <w:ilvl w:val="0"/>
                <w:numId w:val="3"/>
              </w:numPr>
              <w:rPr>
                <w:color w:val="auto"/>
              </w:rPr>
            </w:pPr>
            <w:r w:rsidRPr="00AB1C24">
              <w:rPr>
                <w:color w:val="auto"/>
                <w:sz w:val="20"/>
                <w:szCs w:val="20"/>
              </w:rPr>
              <w:t>Mancata o tardiva emanazione del provvedimento, che abbia arrecato danno all’Amministrazione (art.2, comma 9, legge 241/1990)</w:t>
            </w:r>
          </w:p>
        </w:tc>
      </w:tr>
      <w:tr w:rsidR="00AB1C24" w:rsidRPr="00AB1C24">
        <w:tc>
          <w:tcPr>
            <w:tcW w:w="9497" w:type="dxa"/>
            <w:shd w:val="clear" w:color="auto" w:fill="auto"/>
            <w:tcMar>
              <w:left w:w="68" w:type="dxa"/>
            </w:tcMar>
          </w:tcPr>
          <w:p w:rsidR="00A05233" w:rsidRPr="00AB1C24" w:rsidRDefault="006C3442">
            <w:pPr>
              <w:pStyle w:val="Paragrafoelenco"/>
              <w:numPr>
                <w:ilvl w:val="0"/>
                <w:numId w:val="1"/>
              </w:numPr>
              <w:ind w:left="426"/>
              <w:rPr>
                <w:color w:val="auto"/>
              </w:rPr>
            </w:pPr>
            <w:r w:rsidRPr="00AB1C24">
              <w:rPr>
                <w:color w:val="auto"/>
                <w:sz w:val="20"/>
                <w:szCs w:val="20"/>
              </w:rPr>
              <w:lastRenderedPageBreak/>
              <w:t xml:space="preserve">Mancata o incompleta attuazione delle disposizioni in materia di </w:t>
            </w:r>
            <w:r w:rsidRPr="00AB1C24">
              <w:rPr>
                <w:b/>
                <w:color w:val="auto"/>
                <w:sz w:val="20"/>
                <w:szCs w:val="20"/>
              </w:rPr>
              <w:t>prevenzione della corruzione e/o trasparenza</w:t>
            </w:r>
            <w:r w:rsidRPr="00AB1C24">
              <w:rPr>
                <w:color w:val="auto"/>
                <w:sz w:val="20"/>
                <w:szCs w:val="20"/>
              </w:rPr>
              <w:t xml:space="preserve"> amministrativa che siano state oggetto di specifiche contestazioni</w:t>
            </w:r>
          </w:p>
        </w:tc>
      </w:tr>
      <w:tr w:rsidR="00AB1C24" w:rsidRPr="00AB1C24">
        <w:tc>
          <w:tcPr>
            <w:tcW w:w="9497" w:type="dxa"/>
            <w:shd w:val="clear" w:color="auto" w:fill="auto"/>
            <w:tcMar>
              <w:left w:w="68" w:type="dxa"/>
            </w:tcMar>
          </w:tcPr>
          <w:p w:rsidR="00A05233" w:rsidRPr="00AB1C24" w:rsidRDefault="006C3442">
            <w:pPr>
              <w:pStyle w:val="Paragrafoelenco"/>
              <w:numPr>
                <w:ilvl w:val="0"/>
                <w:numId w:val="1"/>
              </w:numPr>
              <w:ind w:left="426"/>
              <w:rPr>
                <w:color w:val="auto"/>
              </w:rPr>
            </w:pPr>
            <w:r w:rsidRPr="00AB1C24">
              <w:rPr>
                <w:b/>
                <w:color w:val="auto"/>
                <w:sz w:val="20"/>
                <w:szCs w:val="20"/>
              </w:rPr>
              <w:t>Mancato rispetto delle direttive</w:t>
            </w:r>
            <w:r w:rsidRPr="00AB1C24">
              <w:rPr>
                <w:color w:val="auto"/>
                <w:sz w:val="20"/>
                <w:szCs w:val="20"/>
              </w:rPr>
              <w:t xml:space="preserve"> impartite dall’amministrazione (articolo 21, comma 5, decreto legislativo 165/2001)</w:t>
            </w:r>
          </w:p>
        </w:tc>
      </w:tr>
      <w:tr w:rsidR="00AB1C24" w:rsidRPr="00AB1C24">
        <w:tc>
          <w:tcPr>
            <w:tcW w:w="9497" w:type="dxa"/>
            <w:shd w:val="clear" w:color="auto" w:fill="auto"/>
            <w:tcMar>
              <w:left w:w="68" w:type="dxa"/>
            </w:tcMar>
          </w:tcPr>
          <w:p w:rsidR="00A05233" w:rsidRPr="00AB1C24" w:rsidRDefault="006C3442">
            <w:pPr>
              <w:pStyle w:val="Paragrafoelenco"/>
              <w:numPr>
                <w:ilvl w:val="0"/>
                <w:numId w:val="1"/>
              </w:numPr>
              <w:ind w:left="426"/>
              <w:rPr>
                <w:color w:val="auto"/>
              </w:rPr>
            </w:pPr>
            <w:r w:rsidRPr="00AB1C24">
              <w:rPr>
                <w:b/>
                <w:color w:val="auto"/>
                <w:sz w:val="20"/>
                <w:szCs w:val="20"/>
              </w:rPr>
              <w:t>Mancato esercizio dell’attività di vigilanza sul rispetto degli standard</w:t>
            </w:r>
            <w:r w:rsidRPr="00AB1C24">
              <w:rPr>
                <w:color w:val="auto"/>
                <w:sz w:val="20"/>
                <w:szCs w:val="20"/>
              </w:rPr>
              <w:t xml:space="preserve"> qualitativi e quantitativi del settore di competenza (articolo 21, comma 1 bis)</w:t>
            </w:r>
          </w:p>
        </w:tc>
      </w:tr>
      <w:tr w:rsidR="00AB1C24" w:rsidRPr="00AB1C24">
        <w:trPr>
          <w:trHeight w:val="502"/>
        </w:trPr>
        <w:tc>
          <w:tcPr>
            <w:tcW w:w="9497" w:type="dxa"/>
            <w:shd w:val="clear" w:color="auto" w:fill="auto"/>
            <w:tcMar>
              <w:left w:w="68" w:type="dxa"/>
            </w:tcMar>
          </w:tcPr>
          <w:p w:rsidR="00A05233" w:rsidRPr="00AB1C24" w:rsidRDefault="006C3442">
            <w:pPr>
              <w:pStyle w:val="Paragrafoelenco"/>
              <w:numPr>
                <w:ilvl w:val="0"/>
                <w:numId w:val="1"/>
              </w:numPr>
              <w:ind w:left="426"/>
              <w:rPr>
                <w:color w:val="auto"/>
              </w:rPr>
            </w:pPr>
            <w:r w:rsidRPr="00AB1C24">
              <w:rPr>
                <w:b/>
                <w:color w:val="auto"/>
                <w:sz w:val="20"/>
                <w:szCs w:val="20"/>
              </w:rPr>
              <w:t>Violazione degli obblighi prestazionali</w:t>
            </w:r>
            <w:r w:rsidRPr="00AB1C24">
              <w:rPr>
                <w:color w:val="auto"/>
                <w:sz w:val="20"/>
                <w:szCs w:val="20"/>
              </w:rPr>
              <w:t xml:space="preserve"> che abbiano determinato insufficiente rendimento (articolo 55 quater, comma 2)</w:t>
            </w:r>
          </w:p>
        </w:tc>
      </w:tr>
      <w:tr w:rsidR="00AB1C24" w:rsidRPr="00AB1C24">
        <w:tc>
          <w:tcPr>
            <w:tcW w:w="9497" w:type="dxa"/>
            <w:shd w:val="clear" w:color="auto" w:fill="auto"/>
            <w:tcMar>
              <w:left w:w="68" w:type="dxa"/>
            </w:tcMar>
          </w:tcPr>
          <w:p w:rsidR="00A05233" w:rsidRPr="00AB1C24" w:rsidRDefault="006C3442">
            <w:pPr>
              <w:pStyle w:val="Paragrafoelenco"/>
              <w:numPr>
                <w:ilvl w:val="0"/>
                <w:numId w:val="1"/>
              </w:numPr>
              <w:ind w:left="426"/>
              <w:rPr>
                <w:color w:val="auto"/>
              </w:rPr>
            </w:pPr>
            <w:proofErr w:type="gramStart"/>
            <w:r w:rsidRPr="00AB1C24">
              <w:rPr>
                <w:color w:val="auto"/>
                <w:sz w:val="20"/>
                <w:szCs w:val="20"/>
              </w:rPr>
              <w:t>inefficienze</w:t>
            </w:r>
            <w:proofErr w:type="gramEnd"/>
            <w:r w:rsidRPr="00AB1C24">
              <w:rPr>
                <w:color w:val="auto"/>
                <w:sz w:val="20"/>
                <w:szCs w:val="20"/>
              </w:rPr>
              <w:t xml:space="preserve"> o incompetenze che abbiano comportato </w:t>
            </w:r>
            <w:r w:rsidRPr="00AB1C24">
              <w:rPr>
                <w:b/>
                <w:color w:val="auto"/>
                <w:sz w:val="20"/>
                <w:szCs w:val="20"/>
              </w:rPr>
              <w:t>gravi danni</w:t>
            </w:r>
            <w:r w:rsidRPr="00AB1C24">
              <w:rPr>
                <w:color w:val="auto"/>
                <w:sz w:val="20"/>
                <w:szCs w:val="20"/>
              </w:rPr>
              <w:t xml:space="preserve"> al normale funzionamento dell’ente (articolo 55 </w:t>
            </w:r>
            <w:proofErr w:type="spellStart"/>
            <w:r w:rsidRPr="00AB1C24">
              <w:rPr>
                <w:color w:val="auto"/>
                <w:sz w:val="20"/>
                <w:szCs w:val="20"/>
              </w:rPr>
              <w:t>sexies</w:t>
            </w:r>
            <w:proofErr w:type="spellEnd"/>
            <w:r w:rsidRPr="00AB1C24">
              <w:rPr>
                <w:color w:val="auto"/>
                <w:sz w:val="20"/>
                <w:szCs w:val="20"/>
              </w:rPr>
              <w:t>)</w:t>
            </w:r>
          </w:p>
        </w:tc>
      </w:tr>
      <w:tr w:rsidR="00AB1C24" w:rsidRPr="00AB1C24">
        <w:tc>
          <w:tcPr>
            <w:tcW w:w="9497" w:type="dxa"/>
            <w:shd w:val="clear" w:color="auto" w:fill="auto"/>
            <w:tcMar>
              <w:left w:w="68" w:type="dxa"/>
            </w:tcMar>
          </w:tcPr>
          <w:p w:rsidR="00A05233" w:rsidRPr="00AB1C24" w:rsidRDefault="006C3442">
            <w:pPr>
              <w:pStyle w:val="Paragrafoelenco"/>
              <w:numPr>
                <w:ilvl w:val="0"/>
                <w:numId w:val="1"/>
              </w:numPr>
              <w:ind w:left="426"/>
              <w:rPr>
                <w:color w:val="auto"/>
              </w:rPr>
            </w:pPr>
            <w:proofErr w:type="gramStart"/>
            <w:r w:rsidRPr="00AB1C24">
              <w:rPr>
                <w:b/>
                <w:color w:val="auto"/>
                <w:sz w:val="20"/>
                <w:szCs w:val="20"/>
              </w:rPr>
              <w:t>mancato</w:t>
            </w:r>
            <w:proofErr w:type="gramEnd"/>
            <w:r w:rsidRPr="00AB1C24">
              <w:rPr>
                <w:b/>
                <w:color w:val="auto"/>
                <w:sz w:val="20"/>
                <w:szCs w:val="20"/>
              </w:rPr>
              <w:t xml:space="preserve"> o inadeguato esercizio dell’azione disciplinare</w:t>
            </w:r>
            <w:r w:rsidRPr="00AB1C24">
              <w:rPr>
                <w:color w:val="auto"/>
                <w:sz w:val="20"/>
                <w:szCs w:val="20"/>
              </w:rPr>
              <w:t xml:space="preserve">, laddove si renda necessario (articolo 55 </w:t>
            </w:r>
            <w:proofErr w:type="spellStart"/>
            <w:r w:rsidRPr="00AB1C24">
              <w:rPr>
                <w:color w:val="auto"/>
                <w:sz w:val="20"/>
                <w:szCs w:val="20"/>
              </w:rPr>
              <w:t>sexies</w:t>
            </w:r>
            <w:proofErr w:type="spellEnd"/>
            <w:r w:rsidRPr="00AB1C24">
              <w:rPr>
                <w:color w:val="auto"/>
                <w:sz w:val="20"/>
                <w:szCs w:val="20"/>
              </w:rPr>
              <w:t>, comma 3)</w:t>
            </w:r>
          </w:p>
        </w:tc>
      </w:tr>
      <w:tr w:rsidR="00AB1C24" w:rsidRPr="00AB1C24">
        <w:trPr>
          <w:trHeight w:val="516"/>
        </w:trPr>
        <w:tc>
          <w:tcPr>
            <w:tcW w:w="9497" w:type="dxa"/>
            <w:shd w:val="clear" w:color="auto" w:fill="auto"/>
            <w:tcMar>
              <w:left w:w="68" w:type="dxa"/>
            </w:tcMar>
          </w:tcPr>
          <w:p w:rsidR="00A05233" w:rsidRPr="00AB1C24" w:rsidRDefault="006C3442">
            <w:pPr>
              <w:pStyle w:val="Paragrafoelenco"/>
              <w:numPr>
                <w:ilvl w:val="0"/>
                <w:numId w:val="1"/>
              </w:numPr>
              <w:ind w:left="426"/>
              <w:rPr>
                <w:color w:val="auto"/>
              </w:rPr>
            </w:pPr>
            <w:proofErr w:type="gramStart"/>
            <w:r w:rsidRPr="00AB1C24">
              <w:rPr>
                <w:b/>
                <w:color w:val="auto"/>
                <w:sz w:val="20"/>
                <w:szCs w:val="20"/>
              </w:rPr>
              <w:t>rilievi</w:t>
            </w:r>
            <w:proofErr w:type="gramEnd"/>
            <w:r w:rsidRPr="00AB1C24">
              <w:rPr>
                <w:b/>
                <w:color w:val="auto"/>
                <w:sz w:val="20"/>
                <w:szCs w:val="20"/>
              </w:rPr>
              <w:t xml:space="preserve"> significativi verificati in occasione dell’attività di controllo</w:t>
            </w:r>
            <w:r w:rsidRPr="00AB1C24">
              <w:rPr>
                <w:color w:val="auto"/>
                <w:sz w:val="20"/>
                <w:szCs w:val="20"/>
              </w:rPr>
              <w:t xml:space="preserve"> sulla regolarità degli atti</w:t>
            </w:r>
          </w:p>
        </w:tc>
      </w:tr>
      <w:tr w:rsidR="00A05233" w:rsidRPr="00AB1C24">
        <w:tc>
          <w:tcPr>
            <w:tcW w:w="9497" w:type="dxa"/>
            <w:shd w:val="clear" w:color="auto" w:fill="auto"/>
            <w:tcMar>
              <w:left w:w="68" w:type="dxa"/>
            </w:tcMar>
          </w:tcPr>
          <w:p w:rsidR="00A05233" w:rsidRPr="00AB1C24" w:rsidRDefault="006C3442">
            <w:pPr>
              <w:pStyle w:val="Paragrafoelenco"/>
              <w:ind w:left="426"/>
              <w:jc w:val="right"/>
              <w:rPr>
                <w:color w:val="auto"/>
              </w:rPr>
            </w:pPr>
            <w:proofErr w:type="spellStart"/>
            <w:r w:rsidRPr="00AB1C24">
              <w:rPr>
                <w:b/>
                <w:color w:val="auto"/>
                <w:sz w:val="20"/>
                <w:szCs w:val="20"/>
              </w:rPr>
              <w:t>Max</w:t>
            </w:r>
            <w:proofErr w:type="spellEnd"/>
            <w:r w:rsidRPr="00AB1C24">
              <w:rPr>
                <w:b/>
                <w:color w:val="auto"/>
                <w:sz w:val="20"/>
                <w:szCs w:val="20"/>
              </w:rPr>
              <w:t xml:space="preserve"> -30 punti</w:t>
            </w:r>
          </w:p>
        </w:tc>
      </w:tr>
    </w:tbl>
    <w:p w:rsidR="00A05233" w:rsidRPr="00AB1C24" w:rsidRDefault="00A05233">
      <w:pPr>
        <w:rPr>
          <w:b/>
          <w:color w:val="auto"/>
        </w:rPr>
      </w:pPr>
    </w:p>
    <w:p w:rsidR="00A05233" w:rsidRPr="00AB1C24" w:rsidRDefault="006C3442">
      <w:pPr>
        <w:rPr>
          <w:color w:val="auto"/>
        </w:rPr>
      </w:pPr>
      <w:r w:rsidRPr="00AB1C24">
        <w:rPr>
          <w:color w:val="auto"/>
        </w:rPr>
        <w:t>La riduzione della valutazione deve essere effettuata, con adeguata motivazione, in relazione alla gravità dei fatti commessi.</w:t>
      </w:r>
    </w:p>
    <w:p w:rsidR="00A05233" w:rsidRPr="00AB1C24" w:rsidRDefault="006C3442">
      <w:pPr>
        <w:rPr>
          <w:color w:val="auto"/>
        </w:rPr>
      </w:pPr>
      <w:r w:rsidRPr="00AB1C24">
        <w:rPr>
          <w:color w:val="auto"/>
        </w:rPr>
        <w:t xml:space="preserve">Per fatti particolarmente gravi, il </w:t>
      </w:r>
      <w:r w:rsidR="00547C9B" w:rsidRPr="00AB1C24">
        <w:rPr>
          <w:color w:val="auto"/>
        </w:rPr>
        <w:t>Sindaco/Presidente</w:t>
      </w:r>
      <w:r w:rsidRPr="00AB1C24">
        <w:rPr>
          <w:color w:val="auto"/>
        </w:rPr>
        <w:t xml:space="preserve"> potrà, con adeguata motivazione, sospendere la valutazione, in modo definitivo, esprimendo un “giudizio negativo”.</w:t>
      </w:r>
    </w:p>
    <w:p w:rsidR="00136989" w:rsidRDefault="00136989"/>
    <w:p w:rsidR="00136989" w:rsidRDefault="00145FEF" w:rsidP="00136989">
      <w:pPr>
        <w:pStyle w:val="Titolo2"/>
      </w:pPr>
      <w:r>
        <w:t>4. PUNTEGGIO TOTALE</w:t>
      </w:r>
    </w:p>
    <w:p w:rsidR="00A05233" w:rsidRPr="00145FEF" w:rsidRDefault="006C3442" w:rsidP="00BE302D">
      <w:r w:rsidRPr="00145FEF">
        <w:t xml:space="preserve">Il punteggio massimo complessivo attribuibile al dirigente/titolare di </w:t>
      </w:r>
      <w:proofErr w:type="spellStart"/>
      <w:r w:rsidRPr="00145FEF">
        <w:t>p.o.</w:t>
      </w:r>
      <w:proofErr w:type="spellEnd"/>
      <w:r w:rsidRPr="00145FEF">
        <w:t xml:space="preserve"> è comunque non superiore a 100 punti e deriva dalla seguente sommatoria:</w:t>
      </w:r>
    </w:p>
    <w:p w:rsidR="00A05233" w:rsidRDefault="00A05233">
      <w:pPr>
        <w:pStyle w:val="Paragrafoelenco"/>
      </w:pPr>
    </w:p>
    <w:tbl>
      <w:tblPr>
        <w:tblW w:w="10060" w:type="dxa"/>
        <w:tblInd w:w="-50"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10" w:type="dxa"/>
          <w:right w:w="70" w:type="dxa"/>
        </w:tblCellMar>
        <w:tblLook w:val="04A0" w:firstRow="1" w:lastRow="0" w:firstColumn="1" w:lastColumn="0" w:noHBand="0" w:noVBand="1"/>
      </w:tblPr>
      <w:tblGrid>
        <w:gridCol w:w="4019"/>
        <w:gridCol w:w="4019"/>
        <w:gridCol w:w="2022"/>
      </w:tblGrid>
      <w:tr w:rsidR="00A05233">
        <w:trPr>
          <w:trHeight w:val="345"/>
        </w:trPr>
        <w:tc>
          <w:tcPr>
            <w:tcW w:w="10059" w:type="dxa"/>
            <w:gridSpan w:val="3"/>
            <w:tcBorders>
              <w:top w:val="single" w:sz="8" w:space="0" w:color="00000A"/>
              <w:left w:val="single" w:sz="8" w:space="0" w:color="00000A"/>
              <w:bottom w:val="single" w:sz="8" w:space="0" w:color="00000A"/>
              <w:right w:val="single" w:sz="8" w:space="0" w:color="00000A"/>
            </w:tcBorders>
            <w:shd w:val="clear" w:color="C5E0B4" w:fill="BDD7EE"/>
            <w:tcMar>
              <w:left w:w="10" w:type="dxa"/>
            </w:tcMar>
            <w:vAlign w:val="center"/>
          </w:tcPr>
          <w:p w:rsidR="00A05233" w:rsidRDefault="006C3442">
            <w:pPr>
              <w:suppressAutoHyphens w:val="0"/>
              <w:jc w:val="left"/>
            </w:pPr>
            <w:r>
              <w:rPr>
                <w:rFonts w:ascii="Calibri" w:eastAsia="Times New Roman" w:hAnsi="Calibri" w:cs="Times New Roman"/>
                <w:b/>
                <w:bCs/>
                <w:color w:val="000000"/>
                <w:sz w:val="26"/>
                <w:szCs w:val="26"/>
              </w:rPr>
              <w:t>RIEPILOGO</w:t>
            </w:r>
          </w:p>
        </w:tc>
      </w:tr>
      <w:tr w:rsidR="00A05233">
        <w:trPr>
          <w:trHeight w:val="585"/>
        </w:trPr>
        <w:tc>
          <w:tcPr>
            <w:tcW w:w="8037" w:type="dxa"/>
            <w:gridSpan w:val="2"/>
            <w:tcBorders>
              <w:top w:val="single" w:sz="4" w:space="0" w:color="00000A"/>
              <w:left w:val="single" w:sz="4" w:space="0" w:color="00000A"/>
              <w:bottom w:val="single" w:sz="4" w:space="0" w:color="00000A"/>
              <w:right w:val="single" w:sz="4" w:space="0" w:color="00000A"/>
            </w:tcBorders>
            <w:shd w:val="clear" w:color="auto" w:fill="auto"/>
            <w:tcMar>
              <w:left w:w="40" w:type="dxa"/>
            </w:tcMar>
            <w:vAlign w:val="center"/>
          </w:tcPr>
          <w:p w:rsidR="00A05233" w:rsidRDefault="006C3442" w:rsidP="00BE302D">
            <w:pPr>
              <w:suppressAutoHyphens w:val="0"/>
            </w:pPr>
            <w:r>
              <w:rPr>
                <w:rFonts w:ascii="Calibri" w:eastAsia="Times New Roman" w:hAnsi="Calibri" w:cs="Times New Roman"/>
                <w:b/>
                <w:bCs/>
                <w:color w:val="000000"/>
                <w:szCs w:val="22"/>
              </w:rPr>
              <w:t>Performance organizzativa (</w:t>
            </w:r>
            <w:proofErr w:type="spellStart"/>
            <w:r>
              <w:rPr>
                <w:rFonts w:ascii="Calibri" w:eastAsia="Times New Roman" w:hAnsi="Calibri" w:cs="Times New Roman"/>
                <w:b/>
                <w:bCs/>
                <w:color w:val="000000"/>
                <w:szCs w:val="22"/>
              </w:rPr>
              <w:t>Max</w:t>
            </w:r>
            <w:proofErr w:type="spellEnd"/>
            <w:r>
              <w:rPr>
                <w:rFonts w:ascii="Calibri" w:eastAsia="Times New Roman" w:hAnsi="Calibri" w:cs="Times New Roman"/>
                <w:b/>
                <w:bCs/>
                <w:color w:val="000000"/>
                <w:szCs w:val="22"/>
              </w:rPr>
              <w:t xml:space="preserve"> 60 punti)</w:t>
            </w:r>
          </w:p>
        </w:tc>
        <w:tc>
          <w:tcPr>
            <w:tcW w:w="2022" w:type="dxa"/>
            <w:tcBorders>
              <w:top w:val="single" w:sz="4" w:space="0" w:color="00000A"/>
              <w:left w:val="single" w:sz="4" w:space="0" w:color="00000A"/>
              <w:bottom w:val="single" w:sz="4" w:space="0" w:color="00000A"/>
              <w:right w:val="single" w:sz="4" w:space="0" w:color="00000A"/>
            </w:tcBorders>
            <w:shd w:val="clear" w:color="auto" w:fill="auto"/>
            <w:tcMar>
              <w:left w:w="40" w:type="dxa"/>
            </w:tcMar>
            <w:vAlign w:val="center"/>
          </w:tcPr>
          <w:p w:rsidR="00A05233" w:rsidRDefault="006C3442">
            <w:pPr>
              <w:suppressAutoHyphens w:val="0"/>
              <w:jc w:val="center"/>
            </w:pPr>
            <w:r>
              <w:rPr>
                <w:rFonts w:eastAsia="Times New Roman" w:cs="Times New Roman"/>
                <w:b/>
                <w:bCs/>
                <w:color w:val="000000"/>
                <w:sz w:val="32"/>
                <w:szCs w:val="32"/>
              </w:rPr>
              <w:t>A1</w:t>
            </w:r>
          </w:p>
        </w:tc>
      </w:tr>
      <w:tr w:rsidR="00A05233">
        <w:trPr>
          <w:trHeight w:val="300"/>
        </w:trPr>
        <w:tc>
          <w:tcPr>
            <w:tcW w:w="4018" w:type="dxa"/>
            <w:vMerge w:val="restart"/>
            <w:tcBorders>
              <w:top w:val="single" w:sz="4" w:space="0" w:color="00000A"/>
              <w:left w:val="single" w:sz="4" w:space="0" w:color="00000A"/>
              <w:bottom w:val="single" w:sz="4" w:space="0" w:color="00000A"/>
            </w:tcBorders>
            <w:shd w:val="clear" w:color="auto" w:fill="auto"/>
            <w:tcMar>
              <w:left w:w="40" w:type="dxa"/>
            </w:tcMar>
            <w:vAlign w:val="center"/>
          </w:tcPr>
          <w:p w:rsidR="00A05233" w:rsidRDefault="006C3442" w:rsidP="00BE302D">
            <w:pPr>
              <w:suppressAutoHyphens w:val="0"/>
            </w:pPr>
            <w:r>
              <w:rPr>
                <w:rFonts w:ascii="Calibri" w:eastAsia="Times New Roman" w:hAnsi="Calibri" w:cs="Times New Roman"/>
                <w:b/>
                <w:bCs/>
                <w:color w:val="000000"/>
                <w:szCs w:val="22"/>
              </w:rPr>
              <w:t>Performance individuale (</w:t>
            </w:r>
            <w:proofErr w:type="spellStart"/>
            <w:r>
              <w:rPr>
                <w:rFonts w:ascii="Calibri" w:eastAsia="Times New Roman" w:hAnsi="Calibri" w:cs="Times New Roman"/>
                <w:b/>
                <w:bCs/>
                <w:color w:val="000000"/>
                <w:szCs w:val="22"/>
              </w:rPr>
              <w:t>Max</w:t>
            </w:r>
            <w:proofErr w:type="spellEnd"/>
            <w:r>
              <w:rPr>
                <w:rFonts w:ascii="Calibri" w:eastAsia="Times New Roman" w:hAnsi="Calibri" w:cs="Times New Roman"/>
                <w:b/>
                <w:bCs/>
                <w:color w:val="000000"/>
                <w:szCs w:val="22"/>
              </w:rPr>
              <w:t xml:space="preserve"> 40 punti) </w:t>
            </w:r>
            <w:r>
              <w:rPr>
                <w:rFonts w:ascii="Calibri" w:eastAsia="Times New Roman" w:hAnsi="Calibri" w:cs="Times New Roman"/>
                <w:color w:val="000000"/>
                <w:szCs w:val="22"/>
              </w:rPr>
              <w:tab/>
            </w:r>
          </w:p>
          <w:p w:rsidR="00A05233" w:rsidRDefault="006C3442">
            <w:pPr>
              <w:suppressAutoHyphens w:val="0"/>
              <w:jc w:val="center"/>
            </w:pPr>
            <w:r>
              <w:rPr>
                <w:rFonts w:ascii="Calibri" w:eastAsia="Times New Roman" w:hAnsi="Calibri" w:cs="Times New Roman"/>
                <w:color w:val="000000"/>
                <w:szCs w:val="22"/>
              </w:rPr>
              <w:t xml:space="preserve">         </w:t>
            </w:r>
          </w:p>
          <w:p w:rsidR="00A05233" w:rsidRDefault="006C3442">
            <w:pPr>
              <w:suppressAutoHyphens w:val="0"/>
              <w:jc w:val="center"/>
            </w:pPr>
            <w:r>
              <w:rPr>
                <w:rFonts w:ascii="Calibri" w:eastAsia="Times New Roman" w:hAnsi="Calibri" w:cs="Times New Roman"/>
                <w:color w:val="000000"/>
                <w:szCs w:val="22"/>
              </w:rPr>
              <w:t xml:space="preserve">     </w:t>
            </w:r>
          </w:p>
        </w:tc>
        <w:tc>
          <w:tcPr>
            <w:tcW w:w="4019" w:type="dxa"/>
            <w:tcBorders>
              <w:top w:val="single" w:sz="4" w:space="0" w:color="00000A"/>
              <w:left w:val="single" w:sz="4" w:space="0" w:color="00000A"/>
              <w:bottom w:val="single" w:sz="4" w:space="0" w:color="00000A"/>
              <w:right w:val="single" w:sz="4" w:space="0" w:color="00000A"/>
            </w:tcBorders>
            <w:shd w:val="clear" w:color="auto" w:fill="auto"/>
            <w:tcMar>
              <w:left w:w="40" w:type="dxa"/>
            </w:tcMar>
            <w:vAlign w:val="center"/>
          </w:tcPr>
          <w:p w:rsidR="00A05233" w:rsidRDefault="006C3442">
            <w:pPr>
              <w:suppressAutoHyphens w:val="0"/>
              <w:jc w:val="center"/>
            </w:pPr>
            <w:r>
              <w:t>Capacità e fattori comportamentali (max 40 punti)</w:t>
            </w:r>
          </w:p>
        </w:tc>
        <w:tc>
          <w:tcPr>
            <w:tcW w:w="2022" w:type="dxa"/>
            <w:tcBorders>
              <w:top w:val="single" w:sz="4" w:space="0" w:color="00000A"/>
              <w:left w:val="single" w:sz="4" w:space="0" w:color="00000A"/>
              <w:bottom w:val="single" w:sz="4" w:space="0" w:color="00000A"/>
              <w:right w:val="single" w:sz="4" w:space="0" w:color="00000A"/>
            </w:tcBorders>
            <w:shd w:val="clear" w:color="auto" w:fill="auto"/>
            <w:tcMar>
              <w:left w:w="45" w:type="dxa"/>
            </w:tcMar>
            <w:vAlign w:val="center"/>
          </w:tcPr>
          <w:p w:rsidR="00A05233" w:rsidRDefault="006C3442">
            <w:pPr>
              <w:suppressAutoHyphens w:val="0"/>
              <w:jc w:val="center"/>
            </w:pPr>
            <w:r>
              <w:rPr>
                <w:rFonts w:ascii="Calibri" w:eastAsia="Times New Roman" w:hAnsi="Calibri" w:cs="Times New Roman"/>
                <w:b/>
                <w:color w:val="000000"/>
                <w:sz w:val="32"/>
                <w:szCs w:val="22"/>
              </w:rPr>
              <w:t>A2</w:t>
            </w:r>
          </w:p>
        </w:tc>
      </w:tr>
      <w:tr w:rsidR="00A05233">
        <w:trPr>
          <w:trHeight w:val="897"/>
        </w:trPr>
        <w:tc>
          <w:tcPr>
            <w:tcW w:w="4018" w:type="dxa"/>
            <w:vMerge/>
            <w:tcBorders>
              <w:top w:val="single" w:sz="4" w:space="0" w:color="00000A"/>
              <w:left w:val="single" w:sz="4" w:space="0" w:color="00000A"/>
              <w:bottom w:val="single" w:sz="4" w:space="0" w:color="00000A"/>
            </w:tcBorders>
            <w:shd w:val="clear" w:color="auto" w:fill="auto"/>
            <w:tcMar>
              <w:left w:w="40" w:type="dxa"/>
            </w:tcMar>
            <w:vAlign w:val="center"/>
          </w:tcPr>
          <w:p w:rsidR="00A05233" w:rsidRDefault="00A05233">
            <w:pPr>
              <w:suppressAutoHyphens w:val="0"/>
              <w:jc w:val="center"/>
            </w:pPr>
          </w:p>
        </w:tc>
        <w:tc>
          <w:tcPr>
            <w:tcW w:w="4019" w:type="dxa"/>
            <w:tcBorders>
              <w:top w:val="single" w:sz="4" w:space="0" w:color="00000A"/>
              <w:left w:val="single" w:sz="4" w:space="0" w:color="00000A"/>
              <w:bottom w:val="single" w:sz="4" w:space="0" w:color="00000A"/>
              <w:right w:val="single" w:sz="4" w:space="0" w:color="00000A"/>
            </w:tcBorders>
            <w:shd w:val="clear" w:color="auto" w:fill="auto"/>
            <w:tcMar>
              <w:left w:w="40" w:type="dxa"/>
            </w:tcMar>
            <w:vAlign w:val="center"/>
          </w:tcPr>
          <w:p w:rsidR="00A05233" w:rsidRDefault="006C3442">
            <w:pPr>
              <w:suppressAutoHyphens w:val="0"/>
              <w:jc w:val="center"/>
            </w:pPr>
            <w:r>
              <w:rPr>
                <w:rFonts w:ascii="Calibri" w:eastAsia="Times New Roman" w:hAnsi="Calibri" w:cs="Times New Roman"/>
                <w:color w:val="000000"/>
                <w:szCs w:val="22"/>
              </w:rPr>
              <w:t xml:space="preserve">      Fattori di incremento (Max 15 punti)</w:t>
            </w:r>
          </w:p>
          <w:p w:rsidR="00A05233" w:rsidRDefault="006C3442">
            <w:pPr>
              <w:suppressAutoHyphens w:val="0"/>
              <w:jc w:val="center"/>
            </w:pPr>
            <w:r>
              <w:rPr>
                <w:rFonts w:ascii="Calibri" w:eastAsia="Times New Roman" w:hAnsi="Calibri" w:cs="Times New Roman"/>
                <w:color w:val="000000"/>
                <w:szCs w:val="22"/>
              </w:rPr>
              <w:t>Utilizzabili solo per compensare eventuali fattori di riduzione ovvero se la valutazione dei fattori premianti non raggiunge di per sé i 100 punti</w:t>
            </w:r>
          </w:p>
        </w:tc>
        <w:tc>
          <w:tcPr>
            <w:tcW w:w="2022" w:type="dxa"/>
            <w:tcBorders>
              <w:top w:val="single" w:sz="4" w:space="0" w:color="000001"/>
              <w:left w:val="single" w:sz="4" w:space="0" w:color="000001"/>
              <w:bottom w:val="single" w:sz="4" w:space="0" w:color="000001"/>
              <w:right w:val="single" w:sz="4" w:space="0" w:color="000001"/>
            </w:tcBorders>
            <w:shd w:val="clear" w:color="auto" w:fill="auto"/>
            <w:tcMar>
              <w:left w:w="40" w:type="dxa"/>
            </w:tcMar>
            <w:vAlign w:val="center"/>
          </w:tcPr>
          <w:p w:rsidR="00A05233" w:rsidRDefault="006C3442">
            <w:pPr>
              <w:suppressAutoHyphens w:val="0"/>
              <w:jc w:val="center"/>
            </w:pPr>
            <w:r>
              <w:rPr>
                <w:rFonts w:eastAsia="Times New Roman" w:cs="Times New Roman"/>
                <w:b/>
                <w:bCs/>
                <w:color w:val="000000"/>
                <w:sz w:val="28"/>
                <w:szCs w:val="28"/>
              </w:rPr>
              <w:t>B</w:t>
            </w:r>
          </w:p>
        </w:tc>
      </w:tr>
      <w:tr w:rsidR="00A05233">
        <w:trPr>
          <w:trHeight w:val="450"/>
        </w:trPr>
        <w:tc>
          <w:tcPr>
            <w:tcW w:w="4018" w:type="dxa"/>
            <w:vMerge/>
            <w:tcBorders>
              <w:top w:val="single" w:sz="4" w:space="0" w:color="00000A"/>
              <w:left w:val="single" w:sz="4" w:space="0" w:color="00000A"/>
              <w:bottom w:val="single" w:sz="4" w:space="0" w:color="00000A"/>
            </w:tcBorders>
            <w:shd w:val="clear" w:color="auto" w:fill="auto"/>
            <w:tcMar>
              <w:left w:w="40" w:type="dxa"/>
            </w:tcMar>
            <w:vAlign w:val="center"/>
          </w:tcPr>
          <w:p w:rsidR="00A05233" w:rsidRDefault="00A05233">
            <w:pPr>
              <w:suppressAutoHyphens w:val="0"/>
              <w:jc w:val="center"/>
            </w:pPr>
          </w:p>
        </w:tc>
        <w:tc>
          <w:tcPr>
            <w:tcW w:w="4019" w:type="dxa"/>
            <w:tcBorders>
              <w:top w:val="single" w:sz="4" w:space="0" w:color="00000A"/>
              <w:left w:val="single" w:sz="4" w:space="0" w:color="00000A"/>
              <w:bottom w:val="single" w:sz="4" w:space="0" w:color="00000A"/>
              <w:right w:val="single" w:sz="4" w:space="0" w:color="00000A"/>
            </w:tcBorders>
            <w:shd w:val="clear" w:color="auto" w:fill="auto"/>
            <w:tcMar>
              <w:left w:w="40" w:type="dxa"/>
            </w:tcMar>
            <w:vAlign w:val="center"/>
          </w:tcPr>
          <w:p w:rsidR="00A05233" w:rsidRDefault="006C3442">
            <w:pPr>
              <w:suppressAutoHyphens w:val="0"/>
              <w:jc w:val="center"/>
            </w:pPr>
            <w:r>
              <w:rPr>
                <w:rFonts w:ascii="Calibri" w:eastAsia="Times New Roman" w:hAnsi="Calibri" w:cs="Times New Roman"/>
                <w:color w:val="000000"/>
                <w:szCs w:val="22"/>
              </w:rPr>
              <w:t xml:space="preserve">     Fattori di riduzione (Max -30 punti)</w:t>
            </w:r>
          </w:p>
          <w:p w:rsidR="00A05233" w:rsidRDefault="006C3442">
            <w:pPr>
              <w:suppressAutoHyphens w:val="0"/>
              <w:jc w:val="center"/>
            </w:pPr>
            <w:r>
              <w:rPr>
                <w:rFonts w:ascii="Calibri" w:eastAsia="Times New Roman" w:hAnsi="Calibri" w:cs="Times New Roman"/>
                <w:color w:val="000000"/>
                <w:szCs w:val="22"/>
              </w:rPr>
              <w:t>Compensabili con eventuali fattori di incremento</w:t>
            </w:r>
          </w:p>
        </w:tc>
        <w:tc>
          <w:tcPr>
            <w:tcW w:w="2022" w:type="dxa"/>
            <w:tcBorders>
              <w:top w:val="single" w:sz="8" w:space="0" w:color="00000A"/>
              <w:left w:val="single" w:sz="4" w:space="0" w:color="000001"/>
              <w:bottom w:val="single" w:sz="4" w:space="0" w:color="000001"/>
              <w:right w:val="single" w:sz="4" w:space="0" w:color="000001"/>
            </w:tcBorders>
            <w:shd w:val="clear" w:color="auto" w:fill="auto"/>
            <w:tcMar>
              <w:left w:w="40" w:type="dxa"/>
            </w:tcMar>
            <w:vAlign w:val="center"/>
          </w:tcPr>
          <w:p w:rsidR="00A05233" w:rsidRDefault="006C3442">
            <w:pPr>
              <w:suppressAutoHyphens w:val="0"/>
              <w:jc w:val="center"/>
            </w:pPr>
            <w:r>
              <w:rPr>
                <w:rFonts w:eastAsia="Times New Roman" w:cs="Times New Roman"/>
                <w:b/>
                <w:bCs/>
                <w:color w:val="000000"/>
                <w:sz w:val="28"/>
                <w:szCs w:val="28"/>
              </w:rPr>
              <w:t>C</w:t>
            </w:r>
          </w:p>
        </w:tc>
      </w:tr>
      <w:tr w:rsidR="00A05233">
        <w:trPr>
          <w:trHeight w:val="450"/>
        </w:trPr>
        <w:tc>
          <w:tcPr>
            <w:tcW w:w="4018" w:type="dxa"/>
            <w:vMerge/>
            <w:tcBorders>
              <w:top w:val="single" w:sz="4" w:space="0" w:color="00000A"/>
              <w:left w:val="single" w:sz="4" w:space="0" w:color="00000A"/>
              <w:bottom w:val="single" w:sz="4" w:space="0" w:color="00000A"/>
            </w:tcBorders>
            <w:shd w:val="clear" w:color="auto" w:fill="auto"/>
            <w:tcMar>
              <w:left w:w="40" w:type="dxa"/>
            </w:tcMar>
            <w:vAlign w:val="center"/>
          </w:tcPr>
          <w:p w:rsidR="00A05233" w:rsidRDefault="00A05233">
            <w:pPr>
              <w:suppressAutoHyphens w:val="0"/>
              <w:jc w:val="center"/>
              <w:rPr>
                <w:rFonts w:ascii="Calibri" w:eastAsia="Times New Roman" w:hAnsi="Calibri" w:cs="Times New Roman"/>
                <w:color w:val="000000"/>
                <w:szCs w:val="22"/>
              </w:rPr>
            </w:pPr>
          </w:p>
        </w:tc>
        <w:tc>
          <w:tcPr>
            <w:tcW w:w="4019" w:type="dxa"/>
            <w:tcBorders>
              <w:top w:val="single" w:sz="4" w:space="0" w:color="000001"/>
              <w:left w:val="single" w:sz="4" w:space="0" w:color="000001"/>
              <w:bottom w:val="single" w:sz="4" w:space="0" w:color="000001"/>
              <w:right w:val="single" w:sz="8" w:space="0" w:color="00000A"/>
            </w:tcBorders>
            <w:shd w:val="clear" w:color="auto" w:fill="auto"/>
            <w:tcMar>
              <w:left w:w="40" w:type="dxa"/>
            </w:tcMar>
            <w:vAlign w:val="center"/>
          </w:tcPr>
          <w:p w:rsidR="00A05233" w:rsidRDefault="006C3442">
            <w:pPr>
              <w:suppressAutoHyphens w:val="0"/>
              <w:jc w:val="center"/>
            </w:pPr>
            <w:r>
              <w:rPr>
                <w:rFonts w:ascii="Calibri" w:eastAsia="Times New Roman" w:hAnsi="Calibri" w:cs="Times New Roman"/>
                <w:color w:val="000000"/>
                <w:szCs w:val="22"/>
              </w:rPr>
              <w:t>Sommatoria tra Fattori di incremento e riduzione*</w:t>
            </w:r>
          </w:p>
        </w:tc>
        <w:tc>
          <w:tcPr>
            <w:tcW w:w="2022" w:type="dxa"/>
            <w:tcBorders>
              <w:top w:val="single" w:sz="8" w:space="0" w:color="00000A"/>
              <w:left w:val="single" w:sz="4" w:space="0" w:color="000001"/>
              <w:bottom w:val="single" w:sz="4" w:space="0" w:color="000001"/>
              <w:right w:val="single" w:sz="4" w:space="0" w:color="000001"/>
            </w:tcBorders>
            <w:shd w:val="clear" w:color="auto" w:fill="auto"/>
            <w:tcMar>
              <w:left w:w="40" w:type="dxa"/>
            </w:tcMar>
            <w:vAlign w:val="center"/>
          </w:tcPr>
          <w:p w:rsidR="00A05233" w:rsidRDefault="006C3442">
            <w:pPr>
              <w:suppressAutoHyphens w:val="0"/>
              <w:jc w:val="center"/>
            </w:pPr>
            <w:r>
              <w:rPr>
                <w:rFonts w:eastAsia="Times New Roman" w:cs="Times New Roman"/>
                <w:b/>
                <w:bCs/>
                <w:color w:val="000000"/>
                <w:sz w:val="32"/>
                <w:szCs w:val="28"/>
              </w:rPr>
              <w:t>D</w:t>
            </w:r>
            <w:r>
              <w:rPr>
                <w:rFonts w:eastAsia="Times New Roman" w:cs="Times New Roman"/>
                <w:b/>
                <w:bCs/>
                <w:color w:val="000000"/>
                <w:sz w:val="28"/>
                <w:szCs w:val="28"/>
              </w:rPr>
              <w:t>= B+C</w:t>
            </w:r>
          </w:p>
        </w:tc>
      </w:tr>
      <w:tr w:rsidR="00A05233">
        <w:trPr>
          <w:trHeight w:val="942"/>
        </w:trPr>
        <w:tc>
          <w:tcPr>
            <w:tcW w:w="8037" w:type="dxa"/>
            <w:gridSpan w:val="2"/>
            <w:tcBorders>
              <w:top w:val="single" w:sz="4" w:space="0" w:color="00000A"/>
              <w:left w:val="single" w:sz="4" w:space="0" w:color="00000A"/>
              <w:bottom w:val="single" w:sz="4" w:space="0" w:color="00000A"/>
              <w:right w:val="single" w:sz="4" w:space="0" w:color="00000A"/>
            </w:tcBorders>
            <w:shd w:val="clear" w:color="BDD7EE" w:fill="C5E0B4"/>
            <w:tcMar>
              <w:left w:w="40" w:type="dxa"/>
            </w:tcMar>
            <w:vAlign w:val="center"/>
          </w:tcPr>
          <w:p w:rsidR="00A05233" w:rsidRDefault="006C3442">
            <w:pPr>
              <w:suppressAutoHyphens w:val="0"/>
              <w:jc w:val="center"/>
            </w:pPr>
            <w:r>
              <w:rPr>
                <w:rFonts w:ascii="Calibri" w:eastAsia="Times New Roman" w:hAnsi="Calibri" w:cs="Times New Roman"/>
                <w:b/>
                <w:bCs/>
                <w:color w:val="000000"/>
                <w:szCs w:val="22"/>
              </w:rPr>
              <w:t>TOTALE (in ogni caso il punteggio complessivo non può essere superiore a 100)</w:t>
            </w:r>
          </w:p>
        </w:tc>
        <w:tc>
          <w:tcPr>
            <w:tcW w:w="2022" w:type="dxa"/>
            <w:tcBorders>
              <w:top w:val="single" w:sz="8" w:space="0" w:color="00000A"/>
              <w:left w:val="single" w:sz="4" w:space="0" w:color="000001"/>
              <w:bottom w:val="single" w:sz="4" w:space="0" w:color="000001"/>
              <w:right w:val="single" w:sz="4" w:space="0" w:color="000001"/>
            </w:tcBorders>
            <w:shd w:val="clear" w:color="BDD7EE" w:fill="C5E0B4"/>
            <w:tcMar>
              <w:left w:w="40" w:type="dxa"/>
            </w:tcMar>
            <w:vAlign w:val="center"/>
          </w:tcPr>
          <w:p w:rsidR="00A05233" w:rsidRDefault="006C3442" w:rsidP="00BE302D">
            <w:pPr>
              <w:suppressAutoHyphens w:val="0"/>
              <w:jc w:val="center"/>
            </w:pPr>
            <w:r>
              <w:rPr>
                <w:rFonts w:eastAsia="Times New Roman" w:cs="Times New Roman"/>
                <w:b/>
                <w:bCs/>
                <w:color w:val="000000"/>
                <w:sz w:val="40"/>
                <w:szCs w:val="40"/>
              </w:rPr>
              <w:t>A1+A2+D</w:t>
            </w:r>
          </w:p>
        </w:tc>
      </w:tr>
    </w:tbl>
    <w:p w:rsidR="00DB03EC" w:rsidRDefault="00DB03EC" w:rsidP="00145FEF">
      <w:pPr>
        <w:pStyle w:val="Titolo2"/>
      </w:pPr>
    </w:p>
    <w:p w:rsidR="00A05233" w:rsidRDefault="00145FEF" w:rsidP="00145FEF">
      <w:pPr>
        <w:pStyle w:val="Titolo2"/>
      </w:pPr>
      <w:r>
        <w:t>5.</w:t>
      </w:r>
      <w:r w:rsidR="006C3442">
        <w:t xml:space="preserve"> L’ATTRIBUZIONE DELLA RETRIBUZIONE DI RISULTATO </w:t>
      </w:r>
    </w:p>
    <w:p w:rsidR="00A05233" w:rsidRDefault="006C3442">
      <w:r>
        <w:t>La retribuzione di risultato è riconosciuta come segue:</w:t>
      </w:r>
    </w:p>
    <w:p w:rsidR="00A05233" w:rsidRDefault="00A05233">
      <w:pPr>
        <w:rPr>
          <w:szCs w:val="22"/>
        </w:rPr>
      </w:pPr>
    </w:p>
    <w:p w:rsidR="00A05233" w:rsidRDefault="006C3442">
      <w:pPr>
        <w:widowControl w:val="0"/>
        <w:pBdr>
          <w:top w:val="single" w:sz="6" w:space="0" w:color="00000A"/>
          <w:bottom w:val="single" w:sz="6" w:space="0" w:color="00000A"/>
        </w:pBdr>
        <w:rPr>
          <w:szCs w:val="22"/>
        </w:rPr>
      </w:pPr>
      <w:r>
        <w:rPr>
          <w:szCs w:val="22"/>
        </w:rPr>
        <w:t xml:space="preserve">Fino al </w:t>
      </w:r>
      <w:r w:rsidR="0053754E" w:rsidRPr="0053754E">
        <w:rPr>
          <w:color w:val="FF0000"/>
          <w:szCs w:val="22"/>
        </w:rPr>
        <w:t>49</w:t>
      </w:r>
      <w:r w:rsidRPr="0053754E">
        <w:rPr>
          <w:color w:val="FF0000"/>
          <w:szCs w:val="22"/>
        </w:rPr>
        <w:t>%</w:t>
      </w:r>
      <w:r>
        <w:rPr>
          <w:szCs w:val="22"/>
        </w:rPr>
        <w:t xml:space="preserve"> del punteggio massimo </w:t>
      </w:r>
      <w:proofErr w:type="gramStart"/>
      <w:r>
        <w:rPr>
          <w:szCs w:val="22"/>
        </w:rPr>
        <w:t xml:space="preserve">ottenibile </w:t>
      </w:r>
      <w:r>
        <w:rPr>
          <w:rFonts w:ascii="Symbol" w:hAnsi="Symbol"/>
          <w:szCs w:val="22"/>
        </w:rPr>
        <w:t></w:t>
      </w:r>
      <w:r>
        <w:rPr>
          <w:szCs w:val="22"/>
        </w:rPr>
        <w:t xml:space="preserve"> revoca</w:t>
      </w:r>
      <w:proofErr w:type="gramEnd"/>
      <w:r>
        <w:rPr>
          <w:szCs w:val="22"/>
        </w:rPr>
        <w:t xml:space="preserve"> automatica dell’incarico, nessuna retribuzione di risultato e apertura procedimento sanzione licenziamento disciplinare </w:t>
      </w:r>
      <w:r w:rsidR="00BE302D">
        <w:rPr>
          <w:szCs w:val="22"/>
        </w:rPr>
        <w:t>(cfr. punto 7</w:t>
      </w:r>
      <w:r>
        <w:rPr>
          <w:szCs w:val="22"/>
        </w:rPr>
        <w:t xml:space="preserve">) </w:t>
      </w:r>
    </w:p>
    <w:p w:rsidR="00A05233" w:rsidRPr="00AB1C24" w:rsidRDefault="006C3442">
      <w:pPr>
        <w:widowControl w:val="0"/>
        <w:pBdr>
          <w:top w:val="single" w:sz="6" w:space="0" w:color="00000A"/>
          <w:bottom w:val="single" w:sz="6" w:space="0" w:color="00000A"/>
        </w:pBdr>
        <w:rPr>
          <w:color w:val="auto"/>
          <w:szCs w:val="22"/>
        </w:rPr>
      </w:pPr>
      <w:r>
        <w:rPr>
          <w:szCs w:val="22"/>
        </w:rPr>
        <w:t xml:space="preserve">Dal </w:t>
      </w:r>
      <w:r w:rsidR="0053754E" w:rsidRPr="0053754E">
        <w:rPr>
          <w:color w:val="FF0000"/>
          <w:szCs w:val="22"/>
        </w:rPr>
        <w:t>50% al 5</w:t>
      </w:r>
      <w:r w:rsidRPr="0053754E">
        <w:rPr>
          <w:color w:val="FF0000"/>
          <w:szCs w:val="22"/>
        </w:rPr>
        <w:t xml:space="preserve">9% </w:t>
      </w:r>
      <w:r>
        <w:rPr>
          <w:szCs w:val="22"/>
        </w:rPr>
        <w:t xml:space="preserve">del punteggio massimo </w:t>
      </w:r>
      <w:proofErr w:type="gramStart"/>
      <w:r>
        <w:rPr>
          <w:szCs w:val="22"/>
        </w:rPr>
        <w:t xml:space="preserve">ottenibile </w:t>
      </w:r>
      <w:r>
        <w:rPr>
          <w:rFonts w:ascii="Symbol" w:hAnsi="Symbol"/>
          <w:szCs w:val="22"/>
        </w:rPr>
        <w:t></w:t>
      </w:r>
      <w:r>
        <w:rPr>
          <w:szCs w:val="22"/>
        </w:rPr>
        <w:t xml:space="preserve"> nessuna</w:t>
      </w:r>
      <w:proofErr w:type="gramEnd"/>
      <w:r>
        <w:rPr>
          <w:szCs w:val="22"/>
        </w:rPr>
        <w:t xml:space="preserve"> retribuzione di risultato e apertura </w:t>
      </w:r>
      <w:r w:rsidRPr="00AB1C24">
        <w:rPr>
          <w:color w:val="auto"/>
          <w:szCs w:val="22"/>
        </w:rPr>
        <w:t>accertamento della responsabi</w:t>
      </w:r>
      <w:r w:rsidR="00BE302D" w:rsidRPr="00AB1C24">
        <w:rPr>
          <w:color w:val="auto"/>
          <w:szCs w:val="22"/>
        </w:rPr>
        <w:t>lità dirigenziale (cfr. punto 7</w:t>
      </w:r>
      <w:r w:rsidRPr="00AB1C24">
        <w:rPr>
          <w:color w:val="auto"/>
          <w:szCs w:val="22"/>
        </w:rPr>
        <w:t>)</w:t>
      </w:r>
    </w:p>
    <w:p w:rsidR="00A05233" w:rsidRPr="00AB1C24" w:rsidRDefault="006C3442">
      <w:pPr>
        <w:widowControl w:val="0"/>
        <w:pBdr>
          <w:top w:val="single" w:sz="6" w:space="0" w:color="00000A"/>
          <w:bottom w:val="single" w:sz="6" w:space="0" w:color="00000A"/>
        </w:pBdr>
        <w:rPr>
          <w:color w:val="auto"/>
        </w:rPr>
      </w:pPr>
      <w:r w:rsidRPr="00AB1C24">
        <w:rPr>
          <w:color w:val="auto"/>
          <w:szCs w:val="22"/>
        </w:rPr>
        <w:t xml:space="preserve">Dal </w:t>
      </w:r>
      <w:r w:rsidR="0053754E" w:rsidRPr="0053754E">
        <w:rPr>
          <w:color w:val="FF0000"/>
          <w:szCs w:val="22"/>
        </w:rPr>
        <w:t>6</w:t>
      </w:r>
      <w:r w:rsidRPr="0053754E">
        <w:rPr>
          <w:color w:val="FF0000"/>
          <w:szCs w:val="22"/>
        </w:rPr>
        <w:t xml:space="preserve">0% al 100% </w:t>
      </w:r>
      <w:r w:rsidRPr="00AB1C24">
        <w:rPr>
          <w:color w:val="auto"/>
          <w:szCs w:val="22"/>
        </w:rPr>
        <w:t xml:space="preserve">del punteggio massimo </w:t>
      </w:r>
      <w:proofErr w:type="gramStart"/>
      <w:r w:rsidRPr="00AB1C24">
        <w:rPr>
          <w:color w:val="auto"/>
          <w:szCs w:val="22"/>
        </w:rPr>
        <w:t xml:space="preserve">ottenibile </w:t>
      </w:r>
      <w:r w:rsidRPr="00AB1C24">
        <w:rPr>
          <w:rFonts w:ascii="Symbol" w:hAnsi="Symbol"/>
          <w:color w:val="auto"/>
          <w:szCs w:val="22"/>
        </w:rPr>
        <w:t></w:t>
      </w:r>
      <w:r w:rsidRPr="00AB1C24">
        <w:rPr>
          <w:color w:val="auto"/>
          <w:szCs w:val="22"/>
        </w:rPr>
        <w:t xml:space="preserve"> corrispondente</w:t>
      </w:r>
      <w:proofErr w:type="gramEnd"/>
      <w:r w:rsidRPr="00AB1C24">
        <w:rPr>
          <w:color w:val="auto"/>
          <w:szCs w:val="22"/>
        </w:rPr>
        <w:t xml:space="preserve"> % della retribuzione di risultato come definita dall’Ente.</w:t>
      </w:r>
    </w:p>
    <w:p w:rsidR="00A05233" w:rsidRDefault="00A05233"/>
    <w:p w:rsidR="00A05233" w:rsidRDefault="00145FEF">
      <w:pPr>
        <w:pStyle w:val="Titolo2"/>
      </w:pPr>
      <w:r>
        <w:t>6</w:t>
      </w:r>
      <w:r w:rsidR="006C3442">
        <w:t>. PEO (PROGRESSIONI ECONOMICHE ORIZZONTALI)</w:t>
      </w:r>
    </w:p>
    <w:p w:rsidR="00A05233" w:rsidRDefault="006C3442">
      <w:pPr>
        <w:pStyle w:val="Paragrafoelenco"/>
        <w:ind w:left="0"/>
      </w:pPr>
      <w:r>
        <w:t xml:space="preserve">Le progressioni economiche sono attribuite in relazione alla valutazione della </w:t>
      </w:r>
      <w:r w:rsidR="00136989">
        <w:t>performance</w:t>
      </w:r>
      <w:r>
        <w:t xml:space="preserve"> individuale avuto riguardo </w:t>
      </w:r>
      <w:r w:rsidR="00136989">
        <w:t xml:space="preserve">alle capacità e ai fattori comportamentali individuali </w:t>
      </w:r>
      <w:r>
        <w:t xml:space="preserve">e </w:t>
      </w:r>
      <w:r w:rsidR="00136989">
        <w:t>a</w:t>
      </w:r>
      <w:r>
        <w:t xml:space="preserve">lla sommatoria dei fattori di incremento e di riduzione </w:t>
      </w:r>
      <w:r w:rsidRPr="00B11B4C">
        <w:t>(</w:t>
      </w:r>
      <w:r w:rsidR="00136989" w:rsidRPr="00136989">
        <w:rPr>
          <w:b/>
        </w:rPr>
        <w:t>cfr. lettera A</w:t>
      </w:r>
      <w:r w:rsidR="00136989">
        <w:rPr>
          <w:b/>
        </w:rPr>
        <w:t>2</w:t>
      </w:r>
      <w:r w:rsidR="00136989" w:rsidRPr="00136989">
        <w:rPr>
          <w:b/>
        </w:rPr>
        <w:t xml:space="preserve"> + </w:t>
      </w:r>
      <w:r w:rsidRPr="00136989">
        <w:rPr>
          <w:b/>
          <w:bCs/>
        </w:rPr>
        <w:t xml:space="preserve">lettera </w:t>
      </w:r>
      <w:r w:rsidR="00B11B4C" w:rsidRPr="00136989">
        <w:rPr>
          <w:b/>
          <w:bCs/>
        </w:rPr>
        <w:t>D</w:t>
      </w:r>
      <w:r w:rsidR="00136989" w:rsidRPr="00136989">
        <w:rPr>
          <w:b/>
          <w:bCs/>
        </w:rPr>
        <w:t xml:space="preserve"> della scheda</w:t>
      </w:r>
      <w:r w:rsidRPr="00B11B4C">
        <w:rPr>
          <w:bCs/>
        </w:rPr>
        <w:t>)</w:t>
      </w:r>
      <w:r w:rsidRPr="00B11B4C">
        <w:t>.</w:t>
      </w:r>
      <w:r>
        <w:t xml:space="preserve">  </w:t>
      </w:r>
    </w:p>
    <w:p w:rsidR="00A05233" w:rsidRDefault="006C3442">
      <w:pPr>
        <w:pStyle w:val="Paragrafoelenco"/>
        <w:ind w:left="0"/>
      </w:pPr>
      <w:r>
        <w:t>Le disposizioni contrattuali relative alle progressioni prevedono che vengano tenute in considerazione le valutazioni del triennio che precede l’anno di selezione.</w:t>
      </w:r>
    </w:p>
    <w:p w:rsidR="00A05233" w:rsidRDefault="00A05233">
      <w:pPr>
        <w:pStyle w:val="Paragrafoelenco"/>
        <w:ind w:left="0"/>
      </w:pPr>
    </w:p>
    <w:p w:rsidR="00A05233" w:rsidRDefault="00145FEF">
      <w:pPr>
        <w:pStyle w:val="Titolo2"/>
      </w:pPr>
      <w:r>
        <w:t>7</w:t>
      </w:r>
      <w:r w:rsidR="006C3442">
        <w:t xml:space="preserve">. APPLICAZIONE DELLA RIDUZIONE E DEI PRESUPPOSTI PER FATTI PREGRESSI </w:t>
      </w:r>
    </w:p>
    <w:p w:rsidR="00A05233" w:rsidRDefault="006C3442">
      <w:r>
        <w:t>Al fine di garantire equità nell’applicazione della valutazione, laddove si abbia notizia di situazioni e comportamenti di particolare rilevanza che rientrino tra quelli compresi nei “fattori presupposto” e nei “fattori di riduzione”, avvenuti nei cinque anni precedenti per i quali risulti già effettuata la valutazione ed erogata la corrispondente retribuzione, gli effetti conseguenti ai fattori prima citati dovranno essere applicati al processo valutativo in corso.</w:t>
      </w:r>
    </w:p>
    <w:p w:rsidR="00A05233" w:rsidRDefault="00A05233"/>
    <w:p w:rsidR="00A05233" w:rsidRDefault="00145FEF">
      <w:pPr>
        <w:pStyle w:val="Titolo2"/>
      </w:pPr>
      <w:r>
        <w:t>8</w:t>
      </w:r>
      <w:r w:rsidR="006C3442">
        <w:t>. LA VALUTAZIONE NEGATIVA</w:t>
      </w:r>
    </w:p>
    <w:p w:rsidR="00A05233" w:rsidRDefault="006C3442">
      <w:r>
        <w:t>Ai fini dell’applicazione della disposizione contenuta nell’articolo 3, comma 5-bis del decreto legislativo 150/2009, così come modificato e integrato dal d.lgs. 74/2017:</w:t>
      </w:r>
    </w:p>
    <w:p w:rsidR="00A05233" w:rsidRPr="00AB1C24" w:rsidRDefault="006C3442">
      <w:pPr>
        <w:rPr>
          <w:color w:val="FF0000"/>
        </w:rPr>
      </w:pPr>
      <w:r w:rsidRPr="00AB1C24">
        <w:rPr>
          <w:color w:val="FF0000"/>
        </w:rPr>
        <w:t>-  relativamente all’irrogazione del licenziamento disciplinare, per “valutazione negativa” si intende il conseguimento di un pun</w:t>
      </w:r>
      <w:r w:rsidR="0053754E">
        <w:rPr>
          <w:color w:val="FF0000"/>
        </w:rPr>
        <w:t>teggio complessivo inferiore a 50</w:t>
      </w:r>
      <w:r w:rsidRPr="00AB1C24">
        <w:rPr>
          <w:color w:val="FF0000"/>
        </w:rPr>
        <w:t>/100.</w:t>
      </w:r>
    </w:p>
    <w:p w:rsidR="00A05233" w:rsidRPr="00AB1C24" w:rsidRDefault="006C3442">
      <w:pPr>
        <w:rPr>
          <w:color w:val="FF0000"/>
        </w:rPr>
      </w:pPr>
      <w:r w:rsidRPr="00AB1C24">
        <w:rPr>
          <w:color w:val="FF0000"/>
        </w:rPr>
        <w:t xml:space="preserve">-  relativamente alla responsabilità dirigenziale, per “valutazione negativa” si intende il conseguimento di un punteggio complessivo compreso fra </w:t>
      </w:r>
      <w:r w:rsidR="0053754E">
        <w:rPr>
          <w:color w:val="FF0000"/>
        </w:rPr>
        <w:t>5</w:t>
      </w:r>
      <w:r w:rsidRPr="00AB1C24">
        <w:rPr>
          <w:color w:val="FF0000"/>
        </w:rPr>
        <w:t xml:space="preserve">0 e </w:t>
      </w:r>
      <w:r w:rsidR="0053754E">
        <w:rPr>
          <w:color w:val="FF0000"/>
        </w:rPr>
        <w:t>5</w:t>
      </w:r>
      <w:r w:rsidRPr="00AB1C24">
        <w:rPr>
          <w:color w:val="FF0000"/>
        </w:rPr>
        <w:t>9/100.</w:t>
      </w:r>
    </w:p>
    <w:p w:rsidR="00A05233" w:rsidRDefault="00A05233"/>
    <w:p w:rsidR="00A05233" w:rsidRDefault="006C3442">
      <w:r>
        <w:t xml:space="preserve">Il lavoratore dovrà essere formalmente edotto circa il fatto che la valutazione individuale di cui al precedente comma rileva ai fini dell’applicazione del concetto di “insufficiente rendimento” di cui all’art. 55 </w:t>
      </w:r>
      <w:r>
        <w:rPr>
          <w:i/>
        </w:rPr>
        <w:t xml:space="preserve">quater lett. f) </w:t>
      </w:r>
      <w:proofErr w:type="spellStart"/>
      <w:r>
        <w:rPr>
          <w:i/>
          <w:u w:val="single"/>
        </w:rPr>
        <w:t>quinques</w:t>
      </w:r>
      <w:bookmarkEnd w:id="0"/>
      <w:bookmarkEnd w:id="1"/>
      <w:proofErr w:type="spellEnd"/>
      <w:r>
        <w:t xml:space="preserve"> D. Lgs. 165/2001, ovvero all’accertamento della responsabilità dirigenziale.</w:t>
      </w:r>
    </w:p>
    <w:p w:rsidR="00A05233" w:rsidRDefault="00A05233"/>
    <w:p w:rsidR="00A05233" w:rsidRDefault="00A05233"/>
    <w:sectPr w:rsidR="00A05233">
      <w:pgSz w:w="11906" w:h="16838"/>
      <w:pgMar w:top="1417" w:right="1134"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roman"/>
    <w:pitch w:val="variable"/>
  </w:font>
  <w:font w:name="Arial">
    <w:panose1 w:val="020B0604020202020204"/>
    <w:charset w:val="00"/>
    <w:family w:val="swiss"/>
    <w:pitch w:val="variable"/>
    <w:sig w:usb0="E0002AFF" w:usb1="C0007843"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Helvetica Neue Light">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D73B8"/>
    <w:multiLevelType w:val="multilevel"/>
    <w:tmpl w:val="4630EB2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3A13D7D"/>
    <w:multiLevelType w:val="multilevel"/>
    <w:tmpl w:val="528A0B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D86762"/>
    <w:multiLevelType w:val="multilevel"/>
    <w:tmpl w:val="E0F0EDF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C797EAD"/>
    <w:multiLevelType w:val="multilevel"/>
    <w:tmpl w:val="1E6A2AF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A984606"/>
    <w:multiLevelType w:val="multilevel"/>
    <w:tmpl w:val="3DDA58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right"/>
      <w:pPr>
        <w:ind w:left="4320" w:hanging="18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right"/>
      <w:pPr>
        <w:ind w:left="6480" w:hanging="180"/>
      </w:pPr>
    </w:lvl>
  </w:abstractNum>
  <w:abstractNum w:abstractNumId="5" w15:restartNumberingAfterBreak="0">
    <w:nsid w:val="3CD56ECF"/>
    <w:multiLevelType w:val="multilevel"/>
    <w:tmpl w:val="7AF0CB6A"/>
    <w:lvl w:ilvl="0">
      <w:start w:val="1"/>
      <w:numFmt w:val="bullet"/>
      <w:lvlText w:val="-"/>
      <w:lvlJc w:val="left"/>
      <w:pPr>
        <w:ind w:left="1080" w:hanging="360"/>
      </w:pPr>
      <w:rPr>
        <w:rFonts w:ascii="Candara" w:hAnsi="Candara" w:cs="Candara"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6" w15:restartNumberingAfterBreak="0">
    <w:nsid w:val="5C6B3C43"/>
    <w:multiLevelType w:val="multilevel"/>
    <w:tmpl w:val="2312ED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7404EDA"/>
    <w:multiLevelType w:val="multilevel"/>
    <w:tmpl w:val="B194FE9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749F3C28"/>
    <w:multiLevelType w:val="multilevel"/>
    <w:tmpl w:val="3000FF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F88576C"/>
    <w:multiLevelType w:val="multilevel"/>
    <w:tmpl w:val="42CAA1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6"/>
  </w:num>
  <w:num w:numId="3">
    <w:abstractNumId w:val="9"/>
  </w:num>
  <w:num w:numId="4">
    <w:abstractNumId w:val="4"/>
  </w:num>
  <w:num w:numId="5">
    <w:abstractNumId w:val="7"/>
  </w:num>
  <w:num w:numId="6">
    <w:abstractNumId w:val="8"/>
  </w:num>
  <w:num w:numId="7">
    <w:abstractNumId w:val="5"/>
  </w:num>
  <w:num w:numId="8">
    <w:abstractNumId w:val="0"/>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67"/>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233"/>
    <w:rsid w:val="00033E09"/>
    <w:rsid w:val="00136989"/>
    <w:rsid w:val="00145FEF"/>
    <w:rsid w:val="00275D62"/>
    <w:rsid w:val="00472EE4"/>
    <w:rsid w:val="004D7D8B"/>
    <w:rsid w:val="0053754E"/>
    <w:rsid w:val="00547C9B"/>
    <w:rsid w:val="006C3442"/>
    <w:rsid w:val="00A05233"/>
    <w:rsid w:val="00AB1C24"/>
    <w:rsid w:val="00B11B4C"/>
    <w:rsid w:val="00BE302D"/>
    <w:rsid w:val="00DB03EC"/>
    <w:rsid w:val="00F06ABB"/>
    <w:rsid w:val="00FA1678"/>
  </w:rsids>
  <m:mathPr>
    <m:mathFont m:val="Cambria Math"/>
    <m:brkBin m:val="before"/>
    <m:brkBinSub m:val="--"/>
    <m:smallFrac m:val="0"/>
    <m:dispDef/>
    <m:lMargin m:val="0"/>
    <m:rMargin m:val="0"/>
    <m:defJc m:val="centerGroup"/>
    <m:wrapIndent m:val="1440"/>
    <m:intLim m:val="subSup"/>
    <m:naryLim m:val="undOvr"/>
  </m:mathPr>
  <w:themeFontLang w:val="it-IT"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2FC630-2845-42D5-A98E-01E02AD8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3659D"/>
    <w:pPr>
      <w:suppressAutoHyphens/>
      <w:jc w:val="both"/>
    </w:pPr>
    <w:rPr>
      <w:rFonts w:ascii="Candara" w:eastAsia="MS Mincho" w:hAnsi="Candara"/>
      <w:color w:val="00000A"/>
      <w:sz w:val="22"/>
    </w:rPr>
  </w:style>
  <w:style w:type="paragraph" w:styleId="Titolo1">
    <w:name w:val="heading 1"/>
    <w:basedOn w:val="Normale"/>
    <w:link w:val="Titolo1Carattere"/>
    <w:uiPriority w:val="9"/>
    <w:qFormat/>
    <w:rsid w:val="00BD171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link w:val="Titolo2Carattere"/>
    <w:uiPriority w:val="9"/>
    <w:unhideWhenUsed/>
    <w:qFormat/>
    <w:rsid w:val="00197350"/>
    <w:pPr>
      <w:keepNext/>
      <w:keepLines/>
      <w:spacing w:before="40"/>
      <w:outlineLvl w:val="1"/>
    </w:pPr>
    <w:rPr>
      <w:rFonts w:asciiTheme="majorHAnsi" w:eastAsiaTheme="majorEastAsia" w:hAnsiTheme="majorHAnsi" w:cstheme="majorBidi"/>
      <w:b/>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094B4F"/>
    <w:rPr>
      <w:rFonts w:ascii="Lucida Grande" w:hAnsi="Lucida Grande" w:cs="Lucida Grande"/>
      <w:sz w:val="18"/>
      <w:szCs w:val="18"/>
    </w:rPr>
  </w:style>
  <w:style w:type="character" w:customStyle="1" w:styleId="Titolo1Carattere">
    <w:name w:val="Titolo 1 Carattere"/>
    <w:basedOn w:val="Carpredefinitoparagrafo"/>
    <w:link w:val="Titolo1"/>
    <w:uiPriority w:val="9"/>
    <w:qFormat/>
    <w:rsid w:val="00BD171C"/>
    <w:rPr>
      <w:rFonts w:asciiTheme="majorHAnsi" w:eastAsiaTheme="majorEastAsia" w:hAnsiTheme="majorHAnsi" w:cstheme="majorBidi"/>
      <w:b/>
      <w:bCs/>
      <w:color w:val="345A8A" w:themeColor="accent1" w:themeShade="B5"/>
      <w:sz w:val="32"/>
      <w:szCs w:val="32"/>
    </w:rPr>
  </w:style>
  <w:style w:type="character" w:customStyle="1" w:styleId="IntestazioneCarattere">
    <w:name w:val="Intestazione Carattere"/>
    <w:basedOn w:val="Carpredefinitoparagrafo"/>
    <w:link w:val="Intestazione"/>
    <w:uiPriority w:val="99"/>
    <w:qFormat/>
    <w:rsid w:val="0002433A"/>
  </w:style>
  <w:style w:type="character" w:customStyle="1" w:styleId="PidipaginaCarattere">
    <w:name w:val="Piè di pagina Carattere"/>
    <w:basedOn w:val="Carpredefinitoparagrafo"/>
    <w:link w:val="Pidipagina"/>
    <w:uiPriority w:val="99"/>
    <w:qFormat/>
    <w:rsid w:val="0002433A"/>
  </w:style>
  <w:style w:type="character" w:customStyle="1" w:styleId="Titolo2Carattere">
    <w:name w:val="Titolo 2 Carattere"/>
    <w:basedOn w:val="Carpredefinitoparagrafo"/>
    <w:link w:val="Titolo2"/>
    <w:uiPriority w:val="9"/>
    <w:qFormat/>
    <w:rsid w:val="00197350"/>
    <w:rPr>
      <w:rFonts w:asciiTheme="majorHAnsi" w:eastAsiaTheme="majorEastAsia" w:hAnsiTheme="majorHAnsi" w:cstheme="majorBidi"/>
      <w:b/>
      <w:color w:val="365F91" w:themeColor="accent1" w:themeShade="BF"/>
      <w:sz w:val="26"/>
      <w:szCs w:val="26"/>
    </w:rPr>
  </w:style>
  <w:style w:type="character" w:customStyle="1" w:styleId="ListLabel1">
    <w:name w:val="ListLabel 1"/>
    <w:qFormat/>
    <w:rPr>
      <w:rFonts w:eastAsia="MS Mincho"/>
    </w:rPr>
  </w:style>
  <w:style w:type="character" w:customStyle="1" w:styleId="ListLabel2">
    <w:name w:val="ListLabel 2"/>
    <w:qFormat/>
    <w:rPr>
      <w:rFonts w:cs="Courier New"/>
    </w:rPr>
  </w:style>
  <w:style w:type="character" w:customStyle="1" w:styleId="ListLabel3">
    <w:name w:val="ListLabel 3"/>
    <w:qFormat/>
    <w:rPr>
      <w:rFonts w:eastAsia="MS Mincho" w:cs="Arial"/>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rPr>
  </w:style>
  <w:style w:type="character" w:customStyle="1" w:styleId="ListLabel7">
    <w:name w:val="ListLabel 7"/>
    <w:qFormat/>
    <w:rPr>
      <w:rFonts w:cs="Candara"/>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andara"/>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Candara"/>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Candara"/>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andara"/>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rFonts w:cs="Symbol"/>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cs="Candara"/>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cs="Symbol"/>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Courier New"/>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Punti">
    <w:name w:val="Punti"/>
    <w:qFormat/>
    <w:rPr>
      <w:rFonts w:ascii="OpenSymbol" w:eastAsia="OpenSymbol" w:hAnsi="OpenSymbol" w:cs="OpenSymbol"/>
    </w:rPr>
  </w:style>
  <w:style w:type="character" w:customStyle="1" w:styleId="ListLabel78">
    <w:name w:val="ListLabel 78"/>
    <w:qFormat/>
    <w:rPr>
      <w:rFonts w:cs="Courier New"/>
    </w:rPr>
  </w:style>
  <w:style w:type="character" w:customStyle="1" w:styleId="ListLabel79">
    <w:name w:val="ListLabel 79"/>
    <w:qFormat/>
    <w:rPr>
      <w:rFonts w:cs="Wingdings"/>
    </w:rPr>
  </w:style>
  <w:style w:type="character" w:customStyle="1" w:styleId="ListLabel80">
    <w:name w:val="ListLabel 80"/>
    <w:qFormat/>
    <w:rPr>
      <w:rFonts w:cs="Symbol"/>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Candara"/>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rFonts w:cs="Symbol"/>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cs="OpenSymbol"/>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Symbol"/>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Symbol"/>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Candara"/>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cs="Symbol"/>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88" w:lineRule="auto"/>
    </w:pPr>
  </w:style>
  <w:style w:type="paragraph" w:styleId="Elenco">
    <w:name w:val="List"/>
    <w:basedOn w:val="Normale"/>
    <w:pPr>
      <w:widowControl w:val="0"/>
      <w:jc w:val="left"/>
    </w:pPr>
    <w:rPr>
      <w:rFonts w:cs="Mangal"/>
    </w:rPr>
  </w:style>
  <w:style w:type="paragraph" w:styleId="Didascalia">
    <w:name w:val="caption"/>
    <w:basedOn w:val="Normale"/>
    <w:qFormat/>
    <w:pPr>
      <w:suppressLineNumbers/>
      <w:spacing w:before="120" w:after="120"/>
    </w:pPr>
    <w:rPr>
      <w:rFonts w:cs="Mangal"/>
      <w:i/>
      <w:iCs/>
      <w:sz w:val="24"/>
    </w:rPr>
  </w:style>
  <w:style w:type="paragraph" w:customStyle="1" w:styleId="Indice">
    <w:name w:val="Indice"/>
    <w:basedOn w:val="Normale"/>
    <w:qFormat/>
    <w:pPr>
      <w:suppressLineNumbers/>
    </w:pPr>
    <w:rPr>
      <w:rFonts w:cs="Mangal"/>
    </w:rPr>
  </w:style>
  <w:style w:type="paragraph" w:customStyle="1" w:styleId="Corpotesto1">
    <w:name w:val="Corpo testo1"/>
    <w:basedOn w:val="Normale"/>
    <w:qFormat/>
    <w:pPr>
      <w:spacing w:after="140" w:line="288" w:lineRule="auto"/>
    </w:pPr>
  </w:style>
  <w:style w:type="paragraph" w:customStyle="1" w:styleId="Titolo10">
    <w:name w:val="Titolo1"/>
    <w:basedOn w:val="Normale"/>
    <w:qFormat/>
    <w:pPr>
      <w:keepNext/>
      <w:spacing w:before="240" w:after="120"/>
    </w:pPr>
    <w:rPr>
      <w:rFonts w:ascii="Liberation Sans" w:eastAsia="Microsoft YaHei" w:hAnsi="Liberation Sans" w:cs="Mangal"/>
      <w:sz w:val="28"/>
      <w:szCs w:val="28"/>
    </w:rPr>
  </w:style>
  <w:style w:type="paragraph" w:customStyle="1" w:styleId="articolo">
    <w:name w:val="articolo"/>
    <w:basedOn w:val="Normale"/>
    <w:qFormat/>
    <w:rsid w:val="00CA0ED7"/>
    <w:pPr>
      <w:spacing w:after="240"/>
      <w:jc w:val="center"/>
    </w:pPr>
    <w:rPr>
      <w:rFonts w:ascii="Times New Roman" w:eastAsia="Times New Roman" w:hAnsi="Times New Roman" w:cs="Times New Roman"/>
      <w:sz w:val="28"/>
      <w:szCs w:val="28"/>
    </w:rPr>
  </w:style>
  <w:style w:type="paragraph" w:customStyle="1" w:styleId="Corpo">
    <w:name w:val="Corpo"/>
    <w:qFormat/>
    <w:rsid w:val="00834203"/>
    <w:pPr>
      <w:suppressAutoHyphens/>
      <w:spacing w:line="312" w:lineRule="auto"/>
      <w:jc w:val="both"/>
    </w:pPr>
    <w:rPr>
      <w:rFonts w:ascii="Helvetica Neue Light" w:eastAsia="Arial Unicode MS" w:hAnsi="Helvetica Neue Light" w:cs="Arial Unicode MS"/>
      <w:color w:val="000000"/>
      <w:sz w:val="22"/>
      <w:szCs w:val="20"/>
    </w:rPr>
  </w:style>
  <w:style w:type="paragraph" w:styleId="Paragrafoelenco">
    <w:name w:val="List Paragraph"/>
    <w:basedOn w:val="Normale"/>
    <w:uiPriority w:val="34"/>
    <w:qFormat/>
    <w:rsid w:val="001640B5"/>
    <w:pPr>
      <w:ind w:left="720"/>
      <w:contextualSpacing/>
    </w:pPr>
  </w:style>
  <w:style w:type="paragraph" w:styleId="Testofumetto">
    <w:name w:val="Balloon Text"/>
    <w:basedOn w:val="Normale"/>
    <w:link w:val="TestofumettoCarattere"/>
    <w:uiPriority w:val="99"/>
    <w:semiHidden/>
    <w:unhideWhenUsed/>
    <w:qFormat/>
    <w:rsid w:val="00094B4F"/>
    <w:rPr>
      <w:rFonts w:ascii="Lucida Grande" w:hAnsi="Lucida Grande" w:cs="Lucida Grande"/>
      <w:sz w:val="18"/>
      <w:szCs w:val="18"/>
    </w:rPr>
  </w:style>
  <w:style w:type="paragraph" w:styleId="Intestazione">
    <w:name w:val="header"/>
    <w:basedOn w:val="Normale"/>
    <w:link w:val="IntestazioneCarattere"/>
    <w:uiPriority w:val="99"/>
    <w:unhideWhenUsed/>
    <w:rsid w:val="0002433A"/>
    <w:pPr>
      <w:tabs>
        <w:tab w:val="center" w:pos="4819"/>
        <w:tab w:val="right" w:pos="9638"/>
      </w:tabs>
    </w:pPr>
  </w:style>
  <w:style w:type="paragraph" w:styleId="Pidipagina">
    <w:name w:val="footer"/>
    <w:basedOn w:val="Normale"/>
    <w:link w:val="PidipaginaCarattere"/>
    <w:uiPriority w:val="99"/>
    <w:unhideWhenUsed/>
    <w:rsid w:val="0002433A"/>
    <w:pPr>
      <w:tabs>
        <w:tab w:val="center" w:pos="4819"/>
        <w:tab w:val="right" w:pos="9638"/>
      </w:tabs>
    </w:pPr>
  </w:style>
  <w:style w:type="paragraph" w:customStyle="1" w:styleId="Contenutotabella">
    <w:name w:val="Contenuto tabella"/>
    <w:basedOn w:val="Normale"/>
    <w:qFormat/>
  </w:style>
  <w:style w:type="paragraph" w:customStyle="1" w:styleId="Titolotabella">
    <w:name w:val="Titolo tabella"/>
    <w:basedOn w:val="Contenutotabella"/>
    <w:qFormat/>
  </w:style>
  <w:style w:type="table" w:styleId="Grigliatabella">
    <w:name w:val="Table Grid"/>
    <w:basedOn w:val="Tabellanormale"/>
    <w:uiPriority w:val="59"/>
    <w:rsid w:val="002C2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1732</Words>
  <Characters>9873</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d.strappazzon</dc:creator>
  <dc:description/>
  <cp:lastModifiedBy>Dina Strappazzon</cp:lastModifiedBy>
  <cp:revision>4</cp:revision>
  <cp:lastPrinted>2020-08-26T08:16:00Z</cp:lastPrinted>
  <dcterms:created xsi:type="dcterms:W3CDTF">2020-12-14T09:25:00Z</dcterms:created>
  <dcterms:modified xsi:type="dcterms:W3CDTF">2020-12-15T08:41:00Z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